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работающим(ей),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(профессия (должность) пострадавшего, место работы: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054EE9">
        <w:rPr>
          <w:sz w:val="14"/>
          <w:szCs w:val="14"/>
        </w:rPr>
        <w:t>судебно-медицинской экспертизы)</w:t>
      </w:r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>Стоимость разрушенных зданий и сооружений в результате несчастного случая на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>Сведения о решении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предусмотренных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29" w:rsidRDefault="009E4729">
      <w:r>
        <w:separator/>
      </w:r>
    </w:p>
  </w:endnote>
  <w:endnote w:type="continuationSeparator" w:id="0">
    <w:p w:rsidR="009E4729" w:rsidRDefault="009E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29" w:rsidRDefault="009E4729">
      <w:r>
        <w:separator/>
      </w:r>
    </w:p>
  </w:footnote>
  <w:footnote w:type="continuationSeparator" w:id="0">
    <w:p w:rsidR="009E4729" w:rsidRDefault="009E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E0553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E4729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020938-4365-4162-BF26-7082385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2022-06-03T12:20:00Z</cp:lastPrinted>
  <dcterms:created xsi:type="dcterms:W3CDTF">2024-01-02T09:36:00Z</dcterms:created>
  <dcterms:modified xsi:type="dcterms:W3CDTF">2024-01-02T09:36:00Z</dcterms:modified>
</cp:coreProperties>
</file>