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B0" w:rsidRDefault="00A64A7C" w:rsidP="00A64A7C">
      <w:pPr>
        <w:tabs>
          <w:tab w:val="left" w:pos="6379"/>
        </w:tabs>
        <w:ind w:left="6379" w:firstLine="0"/>
        <w:jc w:val="center"/>
      </w:pPr>
      <w:r>
        <w:t>Утверждено</w:t>
      </w:r>
    </w:p>
    <w:p w:rsidR="00A64A7C" w:rsidRDefault="00A64A7C" w:rsidP="00A64A7C">
      <w:pPr>
        <w:tabs>
          <w:tab w:val="left" w:pos="6379"/>
        </w:tabs>
        <w:ind w:left="6379" w:firstLine="0"/>
        <w:jc w:val="center"/>
      </w:pPr>
    </w:p>
    <w:p w:rsidR="00A64A7C" w:rsidRDefault="00A64A7C" w:rsidP="00A64A7C">
      <w:pPr>
        <w:tabs>
          <w:tab w:val="left" w:pos="6379"/>
        </w:tabs>
        <w:ind w:left="6379" w:firstLine="0"/>
        <w:jc w:val="center"/>
      </w:pPr>
      <w:r>
        <w:t>Пр. от ____ № ________</w:t>
      </w:r>
    </w:p>
    <w:p w:rsidR="00A64A7C" w:rsidRDefault="00A64A7C" w:rsidP="00A64A7C">
      <w:pPr>
        <w:tabs>
          <w:tab w:val="left" w:pos="6379"/>
        </w:tabs>
        <w:ind w:left="6379" w:firstLine="0"/>
        <w:jc w:val="center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A64A7C" w:rsidP="001975B0">
      <w:pPr>
        <w:jc w:val="both"/>
      </w:pPr>
    </w:p>
    <w:p w:rsidR="00A64A7C" w:rsidRDefault="001975B0" w:rsidP="00A64A7C">
      <w:pPr>
        <w:ind w:firstLine="0"/>
        <w:jc w:val="center"/>
      </w:pPr>
      <w:r>
        <w:t>Политика</w:t>
      </w:r>
    </w:p>
    <w:p w:rsidR="00486C80" w:rsidRDefault="00486C80" w:rsidP="00A64A7C">
      <w:pPr>
        <w:ind w:firstLine="0"/>
        <w:jc w:val="center"/>
      </w:pPr>
      <w:r>
        <w:t xml:space="preserve">Отделения Фонда пенсионного и социального страхования </w:t>
      </w:r>
      <w:r w:rsidRPr="001975B0">
        <w:t xml:space="preserve">Российской Федерации </w:t>
      </w:r>
      <w:r>
        <w:t>по Красноярскому краю</w:t>
      </w:r>
    </w:p>
    <w:p w:rsidR="00A64A7C" w:rsidRDefault="001975B0" w:rsidP="00A64A7C">
      <w:pPr>
        <w:ind w:firstLine="0"/>
        <w:jc w:val="center"/>
      </w:pPr>
      <w:r>
        <w:t xml:space="preserve">в отношении обработки персональных данных </w:t>
      </w:r>
    </w:p>
    <w:p w:rsidR="001975B0" w:rsidRDefault="001975B0" w:rsidP="00A64A7C">
      <w:pPr>
        <w:ind w:firstLine="0"/>
        <w:jc w:val="center"/>
      </w:pPr>
      <w:r>
        <w:t>и реализации требований к их защите</w:t>
      </w:r>
    </w:p>
    <w:p w:rsidR="005E1BE1" w:rsidRDefault="005E1BE1" w:rsidP="00A64A7C">
      <w:pPr>
        <w:ind w:firstLine="0"/>
        <w:jc w:val="center"/>
      </w:pPr>
      <w:r>
        <w:br w:type="page"/>
      </w:r>
    </w:p>
    <w:p w:rsidR="005E0710" w:rsidRDefault="005E0710" w:rsidP="00A64A7C">
      <w:pPr>
        <w:ind w:firstLine="0"/>
        <w:jc w:val="center"/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</w:rPr>
        <w:id w:val="526024623"/>
        <w:docPartObj>
          <w:docPartGallery w:val="Table of Contents"/>
          <w:docPartUnique/>
        </w:docPartObj>
      </w:sdtPr>
      <w:sdtContent>
        <w:p w:rsidR="005E1BE1" w:rsidRDefault="005E1BE1">
          <w:pPr>
            <w:pStyle w:val="a3"/>
          </w:pPr>
          <w:r>
            <w:t>Оглавление</w:t>
          </w:r>
        </w:p>
        <w:p w:rsidR="005E1BE1" w:rsidRDefault="00AE5EA5">
          <w:pPr>
            <w:pStyle w:val="11"/>
            <w:tabs>
              <w:tab w:val="right" w:leader="dot" w:pos="9912"/>
            </w:tabs>
            <w:rPr>
              <w:noProof/>
            </w:rPr>
          </w:pPr>
          <w:r>
            <w:fldChar w:fldCharType="begin"/>
          </w:r>
          <w:r w:rsidR="005E1BE1">
            <w:instrText xml:space="preserve"> TOC \o "1-3" \h \z \u </w:instrText>
          </w:r>
          <w:r>
            <w:fldChar w:fldCharType="separate"/>
          </w:r>
          <w:hyperlink w:anchor="_Toc128384704" w:history="1">
            <w:r w:rsidR="005E1BE1" w:rsidRPr="00AE7BB1">
              <w:rPr>
                <w:rStyle w:val="a4"/>
                <w:noProof/>
              </w:rPr>
              <w:t>Цели обработки персональных данных</w:t>
            </w:r>
            <w:r w:rsidR="005E1B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E1">
              <w:rPr>
                <w:noProof/>
                <w:webHidden/>
              </w:rPr>
              <w:instrText xml:space="preserve"> PAGEREF _Toc128384704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60C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BE1" w:rsidRDefault="00AE5EA5">
          <w:pPr>
            <w:pStyle w:val="11"/>
            <w:tabs>
              <w:tab w:val="right" w:leader="dot" w:pos="9912"/>
            </w:tabs>
            <w:rPr>
              <w:noProof/>
            </w:rPr>
          </w:pPr>
          <w:hyperlink w:anchor="_Toc128384705" w:history="1">
            <w:r w:rsidR="005E1BE1" w:rsidRPr="00AE7BB1">
              <w:rPr>
                <w:rStyle w:val="a4"/>
                <w:noProof/>
              </w:rPr>
              <w:t>Перечень действий с персональными данными</w:t>
            </w:r>
            <w:r w:rsidR="005E1B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E1">
              <w:rPr>
                <w:noProof/>
                <w:webHidden/>
              </w:rPr>
              <w:instrText xml:space="preserve"> PAGEREF _Toc128384705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60C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BE1" w:rsidRDefault="00AE5EA5">
          <w:pPr>
            <w:pStyle w:val="11"/>
            <w:tabs>
              <w:tab w:val="right" w:leader="dot" w:pos="9912"/>
            </w:tabs>
            <w:rPr>
              <w:noProof/>
            </w:rPr>
          </w:pPr>
          <w:hyperlink w:anchor="_Toc128384706" w:history="1">
            <w:r w:rsidR="005E1BE1" w:rsidRPr="00AE7BB1">
              <w:rPr>
                <w:rStyle w:val="a4"/>
                <w:noProof/>
              </w:rPr>
              <w:t>Принципы обработки персональных данных</w:t>
            </w:r>
            <w:r w:rsidR="005E1B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E1">
              <w:rPr>
                <w:noProof/>
                <w:webHidden/>
              </w:rPr>
              <w:instrText xml:space="preserve"> PAGEREF _Toc128384706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60C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BE1" w:rsidRDefault="00AE5EA5">
          <w:pPr>
            <w:pStyle w:val="11"/>
            <w:tabs>
              <w:tab w:val="right" w:leader="dot" w:pos="9912"/>
            </w:tabs>
            <w:rPr>
              <w:noProof/>
            </w:rPr>
          </w:pPr>
          <w:hyperlink w:anchor="_Toc128384707" w:history="1">
            <w:r w:rsidR="005E1BE1" w:rsidRPr="00AE7BB1">
              <w:rPr>
                <w:rStyle w:val="a4"/>
                <w:noProof/>
              </w:rPr>
              <w:t>Источники персональных данных</w:t>
            </w:r>
            <w:r w:rsidR="005E1B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E1">
              <w:rPr>
                <w:noProof/>
                <w:webHidden/>
              </w:rPr>
              <w:instrText xml:space="preserve"> PAGEREF _Toc128384707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60C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BE1" w:rsidRDefault="00AE5EA5">
          <w:pPr>
            <w:pStyle w:val="11"/>
            <w:tabs>
              <w:tab w:val="right" w:leader="dot" w:pos="9912"/>
            </w:tabs>
            <w:rPr>
              <w:noProof/>
            </w:rPr>
          </w:pPr>
          <w:hyperlink w:anchor="_Toc128384708" w:history="1">
            <w:r w:rsidR="005E1BE1" w:rsidRPr="00AE7BB1">
              <w:rPr>
                <w:rStyle w:val="a4"/>
                <w:noProof/>
              </w:rPr>
              <w:t>Передача персональных данных</w:t>
            </w:r>
            <w:r w:rsidR="005E1B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E1">
              <w:rPr>
                <w:noProof/>
                <w:webHidden/>
              </w:rPr>
              <w:instrText xml:space="preserve"> PAGEREF _Toc128384708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60C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BE1" w:rsidRDefault="00AE5EA5">
          <w:pPr>
            <w:pStyle w:val="11"/>
            <w:tabs>
              <w:tab w:val="right" w:leader="dot" w:pos="9912"/>
            </w:tabs>
            <w:rPr>
              <w:noProof/>
            </w:rPr>
          </w:pPr>
          <w:hyperlink w:anchor="_Toc128384709" w:history="1">
            <w:r w:rsidR="005E1BE1" w:rsidRPr="00AE7BB1">
              <w:rPr>
                <w:rStyle w:val="a4"/>
                <w:noProof/>
              </w:rPr>
              <w:t>Состав органов ОСФР, осуществляющих обработку персональных данных</w:t>
            </w:r>
            <w:r w:rsidR="005E1B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E1">
              <w:rPr>
                <w:noProof/>
                <w:webHidden/>
              </w:rPr>
              <w:instrText xml:space="preserve"> PAGEREF _Toc128384709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60C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BE1" w:rsidRDefault="00AE5EA5">
          <w:pPr>
            <w:pStyle w:val="11"/>
            <w:tabs>
              <w:tab w:val="right" w:leader="dot" w:pos="9912"/>
            </w:tabs>
            <w:rPr>
              <w:noProof/>
            </w:rPr>
          </w:pPr>
          <w:hyperlink w:anchor="_Toc128384710" w:history="1">
            <w:r w:rsidR="005E1BE1" w:rsidRPr="00AE7BB1">
              <w:rPr>
                <w:rStyle w:val="a4"/>
                <w:noProof/>
              </w:rPr>
              <w:t>Реализуемые требования к защите персональных данных</w:t>
            </w:r>
            <w:r w:rsidR="005E1BE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1BE1">
              <w:rPr>
                <w:noProof/>
                <w:webHidden/>
              </w:rPr>
              <w:instrText xml:space="preserve"> PAGEREF _Toc128384710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160C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1BE1" w:rsidRDefault="00AE5EA5">
          <w:r>
            <w:fldChar w:fldCharType="end"/>
          </w:r>
        </w:p>
      </w:sdtContent>
    </w:sdt>
    <w:p w:rsidR="005E1BE1" w:rsidRDefault="005E1BE1" w:rsidP="001975B0">
      <w:pPr>
        <w:ind w:firstLine="709"/>
        <w:contextualSpacing/>
        <w:jc w:val="both"/>
      </w:pPr>
    </w:p>
    <w:p w:rsidR="005E1BE1" w:rsidRDefault="005E1BE1" w:rsidP="001975B0">
      <w:pPr>
        <w:ind w:firstLine="709"/>
        <w:contextualSpacing/>
        <w:jc w:val="both"/>
      </w:pPr>
    </w:p>
    <w:p w:rsidR="005E1BE1" w:rsidRDefault="005E1BE1" w:rsidP="001975B0">
      <w:pPr>
        <w:ind w:firstLine="709"/>
        <w:contextualSpacing/>
        <w:jc w:val="both"/>
      </w:pPr>
    </w:p>
    <w:p w:rsidR="005E1BE1" w:rsidRDefault="005E1BE1">
      <w:r>
        <w:br w:type="page"/>
      </w:r>
    </w:p>
    <w:p w:rsidR="001975B0" w:rsidRPr="001975B0" w:rsidRDefault="001975B0" w:rsidP="001975B0">
      <w:pPr>
        <w:ind w:firstLine="709"/>
        <w:contextualSpacing/>
        <w:jc w:val="both"/>
      </w:pPr>
      <w:r w:rsidRPr="001975B0">
        <w:lastRenderedPageBreak/>
        <w:t xml:space="preserve">Настоящий документ определяет цели обработки персональных данных </w:t>
      </w:r>
      <w:r>
        <w:t xml:space="preserve">Отделением </w:t>
      </w:r>
      <w:r w:rsidR="00486C80">
        <w:t>Фонда пенсионного и с</w:t>
      </w:r>
      <w:r>
        <w:t xml:space="preserve">оциального </w:t>
      </w:r>
      <w:r w:rsidR="00486C80">
        <w:t xml:space="preserve">страхования </w:t>
      </w:r>
      <w:r w:rsidRPr="001975B0">
        <w:t xml:space="preserve">Российской Федерации </w:t>
      </w:r>
      <w:r>
        <w:t xml:space="preserve">по Красноярскому краю </w:t>
      </w:r>
      <w:r w:rsidRPr="001975B0">
        <w:t>(</w:t>
      </w:r>
      <w:r>
        <w:t>ОСФР</w:t>
      </w:r>
      <w:r w:rsidRPr="001975B0">
        <w:t>)</w:t>
      </w:r>
      <w:r w:rsidR="005E1BE1">
        <w:t xml:space="preserve"> (является </w:t>
      </w:r>
      <w:r w:rsidR="00A571E7">
        <w:t>территориальным органом Фонда пенсионного и с</w:t>
      </w:r>
      <w:r w:rsidR="00792AC2">
        <w:t xml:space="preserve">оциального </w:t>
      </w:r>
      <w:r w:rsidR="00A571E7">
        <w:t xml:space="preserve">страхования </w:t>
      </w:r>
      <w:r w:rsidR="00792AC2">
        <w:t>Российской Федерации - СФР</w:t>
      </w:r>
      <w:r w:rsidR="005E1BE1">
        <w:t>)</w:t>
      </w:r>
      <w:r w:rsidRPr="001975B0">
        <w:t>, принципы их обработки, а также содержит сведения о передаче персональных данных взаимодействующим организациям и о реализуемых требованиях к защите персональных данных.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 xml:space="preserve">Правила, порядок, процедуры и практические приемы обработки и защиты персональных данных определяются системой законодательных актов Российской Федерации, нормативных правовых актов </w:t>
      </w:r>
      <w:r>
        <w:t>СФР</w:t>
      </w:r>
      <w:r w:rsidRPr="001975B0">
        <w:t xml:space="preserve">, распорядительных актов </w:t>
      </w:r>
      <w:r>
        <w:t>ОСФР</w:t>
      </w:r>
      <w:r w:rsidRPr="001975B0">
        <w:t>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C1E6A" w:rsidRDefault="001975B0" w:rsidP="001C1E6A">
      <w:pPr>
        <w:pStyle w:val="1"/>
      </w:pPr>
      <w:bookmarkStart w:id="0" w:name="_Toc128384704"/>
      <w:r w:rsidRPr="001C1E6A">
        <w:t>Цели обработки персональных данных</w:t>
      </w:r>
      <w:bookmarkEnd w:id="0"/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 xml:space="preserve">Обработка персональных данных осуществляется </w:t>
      </w:r>
      <w:r>
        <w:t>ОСФР</w:t>
      </w:r>
      <w:r w:rsidRPr="001975B0">
        <w:t xml:space="preserve"> в следующих целях:</w:t>
      </w:r>
    </w:p>
    <w:p w:rsidR="00DD5D4B" w:rsidRDefault="00DD5D4B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t>индивидуального (персонифицированного) учета застрахованных лиц в системе обязательного пенсионного и социального страхования в соответствии с законодательством Российской Федерации;</w:t>
      </w:r>
    </w:p>
    <w:p w:rsidR="008E7BB8" w:rsidRDefault="008E7BB8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t>обеспечение доходной и расходной частей основных показателей бюджета СФР по ОСФР;</w:t>
      </w:r>
    </w:p>
    <w:p w:rsidR="00044A12" w:rsidRDefault="00044A12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t xml:space="preserve">принятия решений и организации работ по привлечению страхователей к ответственности за нарушения </w:t>
      </w:r>
      <w:r w:rsidRPr="00823EFA">
        <w:t>законодательства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страхования, законодательства Российской Федерации об обязательном социальном страховании на случай временной нетрудоспособности и в связи с материнством и законодательства Российской Федерации об обязательном социальном страховании от несчастных случаев на производстве и профессиональных заболеваний</w:t>
      </w:r>
      <w:r>
        <w:t>;</w:t>
      </w:r>
    </w:p>
    <w:p w:rsidR="00044A12" w:rsidRDefault="00044A12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t>приема и обработки от страхователей видов отчетности предусмотренных действующим законодательством Российской Федерации;</w:t>
      </w:r>
    </w:p>
    <w:p w:rsidR="008E7BB8" w:rsidRDefault="008E7BB8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lastRenderedPageBreak/>
        <w:t>регистрации и снятия с регистрационного учета страхователей;</w:t>
      </w:r>
    </w:p>
    <w:p w:rsidR="008E7BB8" w:rsidRDefault="008E7BB8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t>осуществления функций страховщика по обязательному социальному страхованию на случай временной нетрудоспособности и в связи с материнством;</w:t>
      </w:r>
    </w:p>
    <w:p w:rsidR="008E7BB8" w:rsidRDefault="008E7BB8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t xml:space="preserve">осуществления </w:t>
      </w:r>
      <w:r w:rsidRPr="008E7BB8">
        <w:t>функци</w:t>
      </w:r>
      <w:r>
        <w:t>й</w:t>
      </w:r>
      <w:r w:rsidRPr="008E7BB8">
        <w:t xml:space="preserve"> страховщика по обязательному социальному страхованию от несчастных случаев на производстве и профессиональных заболеваний</w:t>
      </w:r>
      <w:r>
        <w:t>;</w:t>
      </w:r>
    </w:p>
    <w:p w:rsidR="008E7BB8" w:rsidRDefault="008E7BB8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t xml:space="preserve">осуществления </w:t>
      </w:r>
      <w:r w:rsidRPr="008E7BB8">
        <w:t>функци</w:t>
      </w:r>
      <w:r>
        <w:t>й</w:t>
      </w:r>
      <w:r w:rsidRPr="008E7BB8">
        <w:t xml:space="preserve"> страховщика по обязат</w:t>
      </w:r>
      <w:r>
        <w:t>ельному пенсионному страхованию;</w:t>
      </w:r>
    </w:p>
    <w:p w:rsidR="00F3348C" w:rsidRDefault="00F3348C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 w:rsidRPr="00F3348C">
        <w:t>заблаговременн</w:t>
      </w:r>
      <w:r>
        <w:t>ой</w:t>
      </w:r>
      <w:r w:rsidRPr="00F3348C">
        <w:t xml:space="preserve"> работ</w:t>
      </w:r>
      <w:r>
        <w:t>ы</w:t>
      </w:r>
      <w:r w:rsidRPr="00F3348C">
        <w:t xml:space="preserve"> с гражданами </w:t>
      </w:r>
      <w:proofErr w:type="spellStart"/>
      <w:r w:rsidRPr="00F3348C">
        <w:t>предпенсионного</w:t>
      </w:r>
      <w:proofErr w:type="spellEnd"/>
      <w:r w:rsidRPr="00F3348C">
        <w:t xml:space="preserve"> возраста и лицами, выходящими на пенсию, а также взаимодействи</w:t>
      </w:r>
      <w:r>
        <w:t>я</w:t>
      </w:r>
      <w:r w:rsidRPr="00F3348C">
        <w:t xml:space="preserve"> со страхователями по вопросам представления заявлений и документов застрахованных лиц, необходимых для установления и выплаты пенсий, пособий и иных социальных выплат</w:t>
      </w:r>
      <w:r>
        <w:t>;</w:t>
      </w:r>
    </w:p>
    <w:p w:rsidR="00DD5D4B" w:rsidRDefault="00DD5D4B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t>пенсионного и социального обеспечения лиц в соответствии с законодательством Российской Федерации;</w:t>
      </w:r>
    </w:p>
    <w:p w:rsidR="00F3348C" w:rsidRDefault="00F3348C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t>осуществления функций связанных с правопреемниками умерших застрахованных лиц;</w:t>
      </w:r>
    </w:p>
    <w:p w:rsidR="004640A5" w:rsidRDefault="004640A5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t>ведения федеральных регистров лиц, имеющих право на дополнительные меры государственной поддержки и государственной социальной помощи;</w:t>
      </w:r>
    </w:p>
    <w:p w:rsidR="00F3348C" w:rsidRDefault="00F3348C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t>проверки заявлений связанных с формированием и инвестированием средств пенсионных накоплений и реализацией функций связанных с работой с ними;</w:t>
      </w:r>
    </w:p>
    <w:p w:rsidR="00F3425E" w:rsidRDefault="00F3425E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t xml:space="preserve">осуществления </w:t>
      </w:r>
      <w:r w:rsidRPr="00823EFA">
        <w:t>межведомственно</w:t>
      </w:r>
      <w:r>
        <w:t>го</w:t>
      </w:r>
      <w:r w:rsidRPr="00823EFA">
        <w:t xml:space="preserve"> информационно</w:t>
      </w:r>
      <w:r>
        <w:t>го</w:t>
      </w:r>
      <w:r w:rsidRPr="00823EFA">
        <w:t xml:space="preserve"> взаимодействи</w:t>
      </w:r>
      <w:r>
        <w:t>я</w:t>
      </w:r>
      <w:r w:rsidRPr="00823EFA">
        <w:t xml:space="preserve"> в целях оказания государственных услуг по пенсионному (социальному) обеспечению, государственных услуг, связанных с предоставлением дополнительных мер государственной поддержки, осуществления выплат семьям, имеющим детей, и иным категориям граждан</w:t>
      </w:r>
      <w:r w:rsidR="00044A12">
        <w:t>;</w:t>
      </w:r>
    </w:p>
    <w:p w:rsidR="004640A5" w:rsidRDefault="004640A5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lastRenderedPageBreak/>
        <w:t>администрирования страховых взносов уплачиваемых с СФР в соответствии с законодательством Российской Федерации;</w:t>
      </w:r>
    </w:p>
    <w:p w:rsidR="004640A5" w:rsidRDefault="004640A5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t>обеспечения прав и льгот Героев Советского Союза, Героев Социалистического Труда, Героев Российской Федерации, полных кавалеров ордена Славы, полных кавалеров ордена Труда Славы и членов их семей;</w:t>
      </w:r>
    </w:p>
    <w:p w:rsidR="004640A5" w:rsidRDefault="004640A5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t>обеспечения социальной защиты ветеранов и инвалидов Великой Отечественной войны и ветеранов и инвалидов боевых действий;</w:t>
      </w:r>
    </w:p>
    <w:p w:rsidR="004640A5" w:rsidRDefault="004640A5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t>обеспечения социальной защиты участников СВО и членов их семей в компетенции СФР;</w:t>
      </w:r>
    </w:p>
    <w:p w:rsidR="001975B0" w:rsidRPr="001975B0" w:rsidRDefault="001975B0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 w:rsidRPr="001975B0">
        <w:t>рассмотрени</w:t>
      </w:r>
      <w:r w:rsidR="004640A5">
        <w:t>я</w:t>
      </w:r>
      <w:r w:rsidRPr="001975B0">
        <w:t xml:space="preserve"> обращений граждан;</w:t>
      </w:r>
    </w:p>
    <w:p w:rsidR="001975B0" w:rsidRDefault="00666BE5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t>ведени</w:t>
      </w:r>
      <w:r w:rsidR="004640A5">
        <w:t>я</w:t>
      </w:r>
      <w:r>
        <w:t xml:space="preserve"> кадрового и бухгалтерского учета</w:t>
      </w:r>
      <w:r w:rsidR="004640A5">
        <w:t>;</w:t>
      </w:r>
    </w:p>
    <w:p w:rsidR="00EE41C2" w:rsidRDefault="00EE41C2" w:rsidP="005E1BE1">
      <w:pPr>
        <w:pStyle w:val="2"/>
        <w:numPr>
          <w:ilvl w:val="0"/>
          <w:numId w:val="2"/>
        </w:numPr>
        <w:shd w:val="clear" w:color="auto" w:fill="auto"/>
        <w:tabs>
          <w:tab w:val="left" w:pos="1474"/>
        </w:tabs>
        <w:spacing w:before="0" w:after="0" w:line="360" w:lineRule="auto"/>
        <w:ind w:hanging="357"/>
        <w:jc w:val="both"/>
      </w:pPr>
      <w:r>
        <w:rPr>
          <w:sz w:val="28"/>
          <w:szCs w:val="28"/>
        </w:rPr>
        <w:t xml:space="preserve">осуществления </w:t>
      </w:r>
      <w:r w:rsidRPr="00823EFA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823EFA">
        <w:rPr>
          <w:sz w:val="28"/>
          <w:szCs w:val="28"/>
        </w:rPr>
        <w:t xml:space="preserve"> по противодействию коррупции, обеспечению соблюдения работниками ограничений, запретов и обязанностей, установленных законодательством Российской Федерации в </w:t>
      </w:r>
      <w:r>
        <w:rPr>
          <w:sz w:val="28"/>
          <w:szCs w:val="28"/>
        </w:rPr>
        <w:t>сфере противодействия коррупции;</w:t>
      </w:r>
    </w:p>
    <w:p w:rsidR="00044A12" w:rsidRDefault="00044A12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t>укомплектования кадрами ОСФР;</w:t>
      </w:r>
    </w:p>
    <w:p w:rsidR="00EE41C2" w:rsidRDefault="00EE41C2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t>организации пропускного режима;</w:t>
      </w:r>
    </w:p>
    <w:p w:rsidR="004640A5" w:rsidRPr="001975B0" w:rsidRDefault="004640A5" w:rsidP="005E1BE1">
      <w:pPr>
        <w:pStyle w:val="ab"/>
        <w:numPr>
          <w:ilvl w:val="0"/>
          <w:numId w:val="2"/>
        </w:numPr>
        <w:spacing w:line="360" w:lineRule="auto"/>
        <w:ind w:hanging="357"/>
        <w:jc w:val="both"/>
      </w:pPr>
      <w:r>
        <w:t>выполнения других задач, возлагаемых на ОСФР законодательством Российской Федерации и СФР.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C1E6A" w:rsidRDefault="001975B0" w:rsidP="001C1E6A">
      <w:pPr>
        <w:pStyle w:val="1"/>
      </w:pPr>
      <w:bookmarkStart w:id="1" w:name="_Toc128384705"/>
      <w:r w:rsidRPr="001C1E6A">
        <w:t>Перечень действий с персональными данными</w:t>
      </w:r>
      <w:bookmarkEnd w:id="1"/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>
        <w:t>ОСФР</w:t>
      </w:r>
      <w:r w:rsidRPr="001975B0">
        <w:t xml:space="preserve"> осуществля</w:t>
      </w:r>
      <w:r w:rsidR="001C1E6A">
        <w:t>е</w:t>
      </w:r>
      <w:r w:rsidRPr="001975B0">
        <w:t xml:space="preserve">т </w:t>
      </w:r>
      <w:r w:rsidR="00E6105A">
        <w:t xml:space="preserve">обработку персональных данных: </w:t>
      </w:r>
      <w:r w:rsidRPr="001975B0"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 и уничтожение персональных данных. Обработка персональных данных осуществляется как с использованием, так и без использования средств автоматизации.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>Хранение персональных данных осуществляется в течение срока, определенного законодательством Российской Федерации.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C1E6A" w:rsidRDefault="001975B0" w:rsidP="001C1E6A">
      <w:pPr>
        <w:pStyle w:val="1"/>
      </w:pPr>
      <w:bookmarkStart w:id="2" w:name="_Toc128384706"/>
      <w:r w:rsidRPr="001C1E6A">
        <w:lastRenderedPageBreak/>
        <w:t>Принципы обработки персональных данных</w:t>
      </w:r>
      <w:bookmarkEnd w:id="2"/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>Обработка персональных данных осуществляется в соответствии с законодательством Российской Федерации и ограничивается достижением конкретных целей, определенных законодательством Российской Федерации в сфере обработки персональных данных.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>Обработке подлежат персональные данные, которые отвечают целям их обработки.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>Не допускается избыточность обработки персональных данных.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>При обработке персональных данных обеспечивается точность персональных данных, их достаточность и актуальность по отношению к целям обработки.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C1E6A" w:rsidRDefault="001975B0" w:rsidP="001C1E6A">
      <w:pPr>
        <w:pStyle w:val="1"/>
      </w:pPr>
      <w:bookmarkStart w:id="3" w:name="_Toc128384707"/>
      <w:r w:rsidRPr="001C1E6A">
        <w:t>Источники персональных данных</w:t>
      </w:r>
      <w:bookmarkEnd w:id="3"/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>
        <w:t>ОСФР</w:t>
      </w:r>
      <w:r w:rsidRPr="001975B0">
        <w:t xml:space="preserve"> персональные данные предоставляются в соответствии с законодательством Российской Федерации: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Default="001975B0" w:rsidP="005E1BE1">
      <w:pPr>
        <w:pStyle w:val="ab"/>
        <w:numPr>
          <w:ilvl w:val="0"/>
          <w:numId w:val="3"/>
        </w:numPr>
        <w:jc w:val="both"/>
      </w:pPr>
      <w:r w:rsidRPr="001975B0">
        <w:t>субъектами персональных данных или их</w:t>
      </w:r>
      <w:r w:rsidR="00666BE5">
        <w:t xml:space="preserve"> законными</w:t>
      </w:r>
      <w:r w:rsidRPr="001975B0">
        <w:t xml:space="preserve"> представителями;</w:t>
      </w:r>
    </w:p>
    <w:p w:rsidR="00D17659" w:rsidRPr="001975B0" w:rsidRDefault="00D17659" w:rsidP="005E1BE1">
      <w:pPr>
        <w:pStyle w:val="ab"/>
        <w:numPr>
          <w:ilvl w:val="0"/>
          <w:numId w:val="3"/>
        </w:numPr>
        <w:jc w:val="both"/>
      </w:pPr>
      <w:r>
        <w:t>страхователями (плательщиками страховых взносов и иных платежей в СФР) или их законными представителями;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Default="001975B0" w:rsidP="005E1BE1">
      <w:pPr>
        <w:pStyle w:val="ab"/>
        <w:numPr>
          <w:ilvl w:val="0"/>
          <w:numId w:val="3"/>
        </w:numPr>
        <w:jc w:val="both"/>
      </w:pPr>
      <w:r w:rsidRPr="001975B0">
        <w:t xml:space="preserve">взаимодействующими с </w:t>
      </w:r>
      <w:r>
        <w:t>ОСФР</w:t>
      </w:r>
      <w:r w:rsidRPr="001975B0">
        <w:t xml:space="preserve"> органами исполнительной власти, кредитными организациями, негосударственными пенсионными фондами, управляющими компаниями, внебюджетными фондами</w:t>
      </w:r>
      <w:r w:rsidR="00D17659">
        <w:t>, иностранными компетентными органами в рамках реализации международных договоров (соглашений) Российской Федерации</w:t>
      </w:r>
      <w:r w:rsidRPr="001975B0">
        <w:t xml:space="preserve"> и другими органами и организациями в целях </w:t>
      </w:r>
      <w:r w:rsidR="00D17659">
        <w:t xml:space="preserve">обеспечения пенсионных социальных прав граждан, </w:t>
      </w:r>
      <w:r w:rsidR="007E3864">
        <w:t>подготовки ответов на обращения граждан</w:t>
      </w:r>
      <w:r w:rsidRPr="001975B0">
        <w:t>;</w:t>
      </w:r>
    </w:p>
    <w:p w:rsidR="00D17659" w:rsidRDefault="00D17659" w:rsidP="00D17659">
      <w:pPr>
        <w:pStyle w:val="ab"/>
      </w:pPr>
    </w:p>
    <w:p w:rsidR="00D17659" w:rsidRDefault="00D17659" w:rsidP="005E1BE1">
      <w:pPr>
        <w:pStyle w:val="ab"/>
        <w:numPr>
          <w:ilvl w:val="0"/>
          <w:numId w:val="3"/>
        </w:numPr>
        <w:jc w:val="both"/>
      </w:pPr>
      <w:r>
        <w:t>судебными и правоохранительными органами;</w:t>
      </w:r>
    </w:p>
    <w:p w:rsidR="00D17659" w:rsidRDefault="00D17659" w:rsidP="00D17659">
      <w:pPr>
        <w:pStyle w:val="ab"/>
      </w:pPr>
    </w:p>
    <w:p w:rsidR="00D17659" w:rsidRPr="001975B0" w:rsidRDefault="00D17659" w:rsidP="005E1BE1">
      <w:pPr>
        <w:pStyle w:val="ab"/>
        <w:numPr>
          <w:ilvl w:val="0"/>
          <w:numId w:val="3"/>
        </w:numPr>
        <w:jc w:val="both"/>
      </w:pPr>
      <w:r>
        <w:t>иными органами и организациями в рамках договоров (соглашений) в целях реализации законных прав граждан.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C1E6A">
      <w:pPr>
        <w:pStyle w:val="1"/>
      </w:pPr>
      <w:bookmarkStart w:id="4" w:name="_Toc128384708"/>
      <w:r w:rsidRPr="001975B0">
        <w:t>Передача персональных данных</w:t>
      </w:r>
      <w:bookmarkEnd w:id="4"/>
    </w:p>
    <w:p w:rsidR="001975B0" w:rsidRPr="001975B0" w:rsidRDefault="001975B0" w:rsidP="001975B0">
      <w:pPr>
        <w:ind w:firstLine="709"/>
        <w:contextualSpacing/>
        <w:jc w:val="both"/>
      </w:pPr>
    </w:p>
    <w:p w:rsidR="001975B0" w:rsidRDefault="001975B0" w:rsidP="001975B0">
      <w:pPr>
        <w:ind w:firstLine="709"/>
        <w:contextualSpacing/>
        <w:jc w:val="both"/>
      </w:pPr>
      <w:r w:rsidRPr="001975B0">
        <w:lastRenderedPageBreak/>
        <w:t xml:space="preserve">Предоставление обрабатываемых персональных данных производится в соответствии с законодательством Российской Федерации органам исполнительной власти, </w:t>
      </w:r>
      <w:r w:rsidR="00D17659">
        <w:t xml:space="preserve">кредитным организациям, </w:t>
      </w:r>
      <w:r w:rsidRPr="001975B0">
        <w:t xml:space="preserve">негосударственным пенсионным фондам, </w:t>
      </w:r>
      <w:r w:rsidR="00D17659">
        <w:t xml:space="preserve">управляющим компаниям, </w:t>
      </w:r>
      <w:r w:rsidRPr="001975B0">
        <w:t>внебюджетным фондам</w:t>
      </w:r>
      <w:r w:rsidR="00D17659">
        <w:t>, иностранным компетентным органам в рамках реализации международных договоров (соглашений) Российской Федерации</w:t>
      </w:r>
      <w:r w:rsidR="00D87C72">
        <w:t>, судебным и правоохранительным органам</w:t>
      </w:r>
      <w:r w:rsidRPr="001975B0">
        <w:t xml:space="preserve"> и другим</w:t>
      </w:r>
      <w:r w:rsidR="00D87C72">
        <w:t>,</w:t>
      </w:r>
      <w:r w:rsidRPr="001975B0">
        <w:t xml:space="preserve"> взаимодействующим </w:t>
      </w:r>
      <w:r w:rsidR="00D87C72">
        <w:t xml:space="preserve">с СФР и ОСФР </w:t>
      </w:r>
      <w:r w:rsidRPr="001975B0">
        <w:t>организациям.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 xml:space="preserve">Распространение персональных данных работников системы </w:t>
      </w:r>
      <w:r>
        <w:t>ОСФР</w:t>
      </w:r>
      <w:r w:rsidR="00D87C72">
        <w:t xml:space="preserve"> производится с их согласия, персональных данных остальных категорий субъектов персональных данных – в соответствии с требованиями законодательства Российской Федерации и международных договоров (соглашений) Российской Федерации..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C1E6A" w:rsidRDefault="001975B0" w:rsidP="001C1E6A">
      <w:pPr>
        <w:pStyle w:val="1"/>
      </w:pPr>
      <w:r w:rsidRPr="001C1E6A">
        <w:t xml:space="preserve">    </w:t>
      </w:r>
      <w:bookmarkStart w:id="5" w:name="_Toc128384709"/>
      <w:r w:rsidRPr="001C1E6A">
        <w:t xml:space="preserve">Состав органов </w:t>
      </w:r>
      <w:r>
        <w:t>ОСФР</w:t>
      </w:r>
      <w:r w:rsidRPr="001C1E6A">
        <w:t>, осуществляющих обработку персональных данных</w:t>
      </w:r>
      <w:bookmarkEnd w:id="5"/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 xml:space="preserve">Цель и содержание обработки персональных данных определяет </w:t>
      </w:r>
      <w:r>
        <w:t>СФР</w:t>
      </w:r>
      <w:r w:rsidRPr="001975B0">
        <w:t xml:space="preserve">, обработку данных осуществляют органы </w:t>
      </w:r>
      <w:r>
        <w:t>ОСФР</w:t>
      </w:r>
      <w:r w:rsidRPr="001975B0">
        <w:t>: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2D33F7" w:rsidP="001975B0">
      <w:pPr>
        <w:ind w:firstLine="709"/>
        <w:contextualSpacing/>
        <w:jc w:val="both"/>
      </w:pPr>
      <w:r>
        <w:t xml:space="preserve">структурные подразделения </w:t>
      </w:r>
      <w:r w:rsidR="001975B0">
        <w:t>ОСФР</w:t>
      </w:r>
      <w:r>
        <w:t xml:space="preserve"> в пределах своих полномочий</w:t>
      </w:r>
      <w:r w:rsidR="00861EF9">
        <w:t xml:space="preserve"> (не являются самостоятельными ЮЛ)</w:t>
      </w:r>
      <w:r w:rsidR="001975B0" w:rsidRPr="001975B0">
        <w:t>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2D33F7" w:rsidP="001975B0">
      <w:pPr>
        <w:ind w:firstLine="709"/>
        <w:contextualSpacing/>
        <w:jc w:val="both"/>
      </w:pPr>
      <w:r>
        <w:t>клиентские службы ОСФР в пределах своих полномочий</w:t>
      </w:r>
      <w:r w:rsidR="00861EF9">
        <w:t xml:space="preserve"> (не являются самостоятельными ЮЛ).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C1E6A" w:rsidRDefault="001975B0" w:rsidP="001C1E6A">
      <w:pPr>
        <w:pStyle w:val="1"/>
      </w:pPr>
      <w:r w:rsidRPr="001C1E6A">
        <w:t xml:space="preserve">    </w:t>
      </w:r>
      <w:bookmarkStart w:id="6" w:name="_Toc128384710"/>
      <w:r w:rsidRPr="001C1E6A">
        <w:t>Реализуемые требования к защите персональных данных</w:t>
      </w:r>
      <w:bookmarkEnd w:id="6"/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1975B0">
      <w:pPr>
        <w:ind w:firstLine="709"/>
        <w:contextualSpacing/>
        <w:jc w:val="both"/>
      </w:pPr>
      <w:r w:rsidRPr="001975B0">
        <w:t xml:space="preserve">Реализация требований к защите персональных данных от неправомерного или случайного доступа к персональным данным, их уничтожения, изменения, блокирования, копирования, распространения, а также от иных неправомерных действий с персональными данными </w:t>
      </w:r>
      <w:r>
        <w:t>ОСФР</w:t>
      </w:r>
      <w:r w:rsidRPr="001975B0">
        <w:t xml:space="preserve"> осуществляется правовыми, организационными и техническими (программно и аппаратно реализуемыми) мерами.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861EF9" w:rsidRDefault="001975B0" w:rsidP="001975B0">
      <w:pPr>
        <w:ind w:firstLine="709"/>
        <w:contextualSpacing/>
        <w:jc w:val="both"/>
        <w:rPr>
          <w:b/>
        </w:rPr>
      </w:pPr>
      <w:r w:rsidRPr="00861EF9">
        <w:rPr>
          <w:b/>
        </w:rPr>
        <w:t>Правовые меры: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5"/>
        </w:numPr>
        <w:jc w:val="both"/>
      </w:pPr>
      <w:r w:rsidRPr="001975B0">
        <w:t>заключение соглашений об информационном обмене с взаимодействующими организациями и включение в них требований об обеспечении конфиденциальности предоставляемых персональных данных;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5"/>
        </w:numPr>
        <w:jc w:val="both"/>
      </w:pPr>
      <w:r w:rsidRPr="001975B0">
        <w:t xml:space="preserve">издание актов </w:t>
      </w:r>
      <w:r>
        <w:t>ОСФР</w:t>
      </w:r>
      <w:r w:rsidRPr="001975B0">
        <w:t>, рекомендаций и инструкций по вопросам обработки персональных данных,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861EF9" w:rsidRDefault="001975B0" w:rsidP="001975B0">
      <w:pPr>
        <w:ind w:firstLine="709"/>
        <w:contextualSpacing/>
        <w:jc w:val="both"/>
        <w:rPr>
          <w:b/>
        </w:rPr>
      </w:pPr>
      <w:r w:rsidRPr="00861EF9">
        <w:rPr>
          <w:b/>
        </w:rPr>
        <w:t>Организационные меры: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861EF9">
      <w:pPr>
        <w:pStyle w:val="ab"/>
        <w:numPr>
          <w:ilvl w:val="0"/>
          <w:numId w:val="4"/>
        </w:numPr>
        <w:jc w:val="both"/>
      </w:pPr>
      <w:r w:rsidRPr="001975B0">
        <w:t>документальное оформление требований к безопасности обрабатываемых данных;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Default="001975B0" w:rsidP="00861EF9">
      <w:pPr>
        <w:pStyle w:val="ab"/>
        <w:numPr>
          <w:ilvl w:val="0"/>
          <w:numId w:val="4"/>
        </w:numPr>
        <w:jc w:val="both"/>
      </w:pPr>
      <w:r w:rsidRPr="001975B0">
        <w:t>назначение лица, ответственного за организацию обработки персональных данных;</w:t>
      </w:r>
    </w:p>
    <w:p w:rsidR="002456E0" w:rsidRDefault="002456E0" w:rsidP="002456E0">
      <w:pPr>
        <w:pStyle w:val="ab"/>
      </w:pPr>
    </w:p>
    <w:p w:rsidR="002456E0" w:rsidRPr="001975B0" w:rsidRDefault="002456E0" w:rsidP="00861EF9">
      <w:pPr>
        <w:pStyle w:val="ab"/>
        <w:numPr>
          <w:ilvl w:val="0"/>
          <w:numId w:val="4"/>
        </w:numPr>
        <w:jc w:val="both"/>
      </w:pPr>
      <w:r>
        <w:t>издание нормативных (руководящих) документов по организации защиты данных;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Default="00861EF9" w:rsidP="00861EF9">
      <w:pPr>
        <w:pStyle w:val="ab"/>
        <w:numPr>
          <w:ilvl w:val="0"/>
          <w:numId w:val="4"/>
        </w:numPr>
        <w:jc w:val="both"/>
      </w:pPr>
      <w:r>
        <w:t xml:space="preserve">применение </w:t>
      </w:r>
      <w:r w:rsidR="001975B0" w:rsidRPr="001975B0">
        <w:t>системы нормативных (руководящих) документов по организации защиты данных;</w:t>
      </w:r>
    </w:p>
    <w:p w:rsidR="002456E0" w:rsidRDefault="002456E0" w:rsidP="002456E0">
      <w:pPr>
        <w:pStyle w:val="ab"/>
      </w:pPr>
    </w:p>
    <w:p w:rsidR="002456E0" w:rsidRPr="001975B0" w:rsidRDefault="002456E0" w:rsidP="00861EF9">
      <w:pPr>
        <w:pStyle w:val="ab"/>
        <w:numPr>
          <w:ilvl w:val="0"/>
          <w:numId w:val="4"/>
        </w:numPr>
        <w:jc w:val="both"/>
      </w:pPr>
      <w:r>
        <w:t>распределение ответственности по вопросам защиты данных между должностными лицами и работниками ОСФР;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861EF9">
      <w:pPr>
        <w:pStyle w:val="ab"/>
        <w:numPr>
          <w:ilvl w:val="0"/>
          <w:numId w:val="4"/>
        </w:numPr>
        <w:jc w:val="both"/>
      </w:pPr>
      <w:r w:rsidRPr="001975B0">
        <w:t xml:space="preserve">установление персональной ответственности работников органов системы </w:t>
      </w:r>
      <w:r>
        <w:t>ОСФР</w:t>
      </w:r>
      <w:r w:rsidRPr="001975B0">
        <w:t xml:space="preserve"> за обеспечение безопасности обрабатываемых данных;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861EF9">
      <w:pPr>
        <w:pStyle w:val="ab"/>
        <w:numPr>
          <w:ilvl w:val="0"/>
          <w:numId w:val="4"/>
        </w:numPr>
        <w:jc w:val="both"/>
      </w:pPr>
      <w:r w:rsidRPr="001975B0">
        <w:t xml:space="preserve">контроль выполнения подразделениями, должностными лицами и работниками органов </w:t>
      </w:r>
      <w:r>
        <w:t>ОСФР</w:t>
      </w:r>
      <w:r w:rsidRPr="001975B0">
        <w:t xml:space="preserve"> требований нормативных документов по защите </w:t>
      </w:r>
      <w:r w:rsidR="007E3864">
        <w:t>информации</w:t>
      </w:r>
      <w:r w:rsidRPr="001975B0">
        <w:t>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861EF9">
      <w:pPr>
        <w:pStyle w:val="ab"/>
        <w:numPr>
          <w:ilvl w:val="0"/>
          <w:numId w:val="4"/>
        </w:numPr>
        <w:jc w:val="both"/>
      </w:pPr>
      <w:r w:rsidRPr="001975B0">
        <w:t>своевременное выявление угроз безопасности данных и принятие соответствующих мер защиты;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861EF9">
      <w:pPr>
        <w:pStyle w:val="ab"/>
        <w:numPr>
          <w:ilvl w:val="0"/>
          <w:numId w:val="4"/>
        </w:numPr>
        <w:jc w:val="both"/>
      </w:pPr>
      <w:r w:rsidRPr="001975B0">
        <w:t>регламентирование порядка применения средств ввода-вывода данных и контроль его выполнения;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861EF9">
      <w:pPr>
        <w:pStyle w:val="ab"/>
        <w:numPr>
          <w:ilvl w:val="0"/>
          <w:numId w:val="4"/>
        </w:numPr>
        <w:jc w:val="both"/>
      </w:pPr>
      <w:r w:rsidRPr="001975B0">
        <w:t>содержание штата специалистов по защите информации, организация системы их профессиональной подготовки и повседневной деятельности;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861EF9">
      <w:pPr>
        <w:pStyle w:val="ab"/>
        <w:numPr>
          <w:ilvl w:val="0"/>
          <w:numId w:val="4"/>
        </w:numPr>
        <w:jc w:val="both"/>
      </w:pPr>
      <w:r w:rsidRPr="001975B0">
        <w:lastRenderedPageBreak/>
        <w:t xml:space="preserve">придание мероприятиям защиты информации характера обязательных элементов производственного процесса </w:t>
      </w:r>
      <w:r>
        <w:t>ОСФР</w:t>
      </w:r>
      <w:r w:rsidRPr="001975B0">
        <w:t>, а требованиям по их исполнению - элементов производственной дисциплины;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861EF9">
      <w:pPr>
        <w:pStyle w:val="ab"/>
        <w:numPr>
          <w:ilvl w:val="0"/>
          <w:numId w:val="4"/>
        </w:numPr>
        <w:jc w:val="both"/>
      </w:pPr>
      <w:r w:rsidRPr="001975B0">
        <w:t xml:space="preserve">доведение до работников </w:t>
      </w:r>
      <w:r>
        <w:t>ОСФР</w:t>
      </w:r>
      <w:r w:rsidRPr="001975B0">
        <w:t xml:space="preserve"> требований по защите данных и обучение их правилам работы в ИС.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A64A7C" w:rsidRDefault="001975B0" w:rsidP="001975B0">
      <w:pPr>
        <w:ind w:firstLine="709"/>
        <w:contextualSpacing/>
        <w:jc w:val="both"/>
        <w:rPr>
          <w:b/>
        </w:rPr>
      </w:pPr>
      <w:r w:rsidRPr="00A64A7C">
        <w:rPr>
          <w:b/>
        </w:rPr>
        <w:t>Технические (программно и аппаратно реализуемые) меры: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резервное копирование информационных ресурсов;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применение прикладных программных продуктов, отвечающих требованиям защиты данных;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 xml:space="preserve">организация контроля доступа в помещения и здания </w:t>
      </w:r>
      <w:r>
        <w:t>ОСФР</w:t>
      </w:r>
      <w:r w:rsidRPr="001975B0">
        <w:t>, их охрана в нерабочее время;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систематический анализ безопасности данных и совершенствование системы их защиты;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применение технических средств защиты, сертифицированных компетентными государственными органами (организациями) на соответствие требованиям безопасности;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своевременное применение критических обновлений общесистемного и прикладного программного обеспечения;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оптимальная настройка операционной системы и прикладного программного обеспечения вычислительных средств, применяемых для обработки данных;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 xml:space="preserve">использование корпоративной информационно-телекоммуникационной сети для обеспечения информационного взаимодействия </w:t>
      </w:r>
      <w:r w:rsidR="00A64A7C">
        <w:t xml:space="preserve">подразделений </w:t>
      </w:r>
      <w:r>
        <w:t>ОСФР</w:t>
      </w:r>
      <w:r w:rsidRPr="001975B0">
        <w:t>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шифрование данных при передаче и хранении (криптографическая защита);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использование электронной подписи;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применение межсетевых защитных (фильтрующих) экранов;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антивирусный мониторинг и детектирование;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lastRenderedPageBreak/>
        <w:t>мониторинг процессов и действий пользователей наиболее важных аппаратных и информационных ресурсов;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 xml:space="preserve">оборудование зданий и помещений системами безопасности (пожарной и охранной сигнализации, пожаротушения, </w:t>
      </w:r>
      <w:r w:rsidR="00A64A7C">
        <w:t>видео</w:t>
      </w:r>
      <w:r w:rsidRPr="001975B0">
        <w:t>наблюдения и т. п.);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 xml:space="preserve">хранение парольной и ключевой информации на индивидуальных </w:t>
      </w:r>
      <w:r w:rsidR="00A64A7C">
        <w:t>носителях</w:t>
      </w:r>
      <w:r w:rsidRPr="001975B0">
        <w:t>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1975B0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применение средств обнаружения и предотвращения компьютерных атак;</w:t>
      </w:r>
    </w:p>
    <w:p w:rsidR="001975B0" w:rsidRPr="001975B0" w:rsidRDefault="001975B0" w:rsidP="001975B0">
      <w:pPr>
        <w:ind w:firstLine="709"/>
        <w:contextualSpacing/>
        <w:jc w:val="both"/>
      </w:pPr>
    </w:p>
    <w:p w:rsidR="002D7AAD" w:rsidRPr="001975B0" w:rsidRDefault="001975B0" w:rsidP="00A64A7C">
      <w:pPr>
        <w:pStyle w:val="ab"/>
        <w:numPr>
          <w:ilvl w:val="0"/>
          <w:numId w:val="6"/>
        </w:numPr>
        <w:jc w:val="both"/>
      </w:pPr>
      <w:r w:rsidRPr="001975B0">
        <w:t>противопожарная защита зданий и помещений</w:t>
      </w:r>
      <w:r w:rsidR="00A64A7C">
        <w:t>.</w:t>
      </w:r>
    </w:p>
    <w:sectPr w:rsidR="002D7AAD" w:rsidRPr="001975B0" w:rsidSect="005E1BE1">
      <w:headerReference w:type="default" r:id="rId8"/>
      <w:pgSz w:w="11906" w:h="16838" w:code="9"/>
      <w:pgMar w:top="851" w:right="85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4E" w:rsidRDefault="007C6E4E" w:rsidP="005E1BE1">
      <w:r>
        <w:separator/>
      </w:r>
    </w:p>
  </w:endnote>
  <w:endnote w:type="continuationSeparator" w:id="0">
    <w:p w:rsidR="007C6E4E" w:rsidRDefault="007C6E4E" w:rsidP="005E1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4E" w:rsidRDefault="007C6E4E" w:rsidP="005E1BE1">
      <w:r>
        <w:separator/>
      </w:r>
    </w:p>
  </w:footnote>
  <w:footnote w:type="continuationSeparator" w:id="0">
    <w:p w:rsidR="007C6E4E" w:rsidRDefault="007C6E4E" w:rsidP="005E1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024624"/>
      <w:docPartObj>
        <w:docPartGallery w:val="Page Numbers (Top of Page)"/>
        <w:docPartUnique/>
      </w:docPartObj>
    </w:sdtPr>
    <w:sdtContent>
      <w:p w:rsidR="008E7BB8" w:rsidRDefault="00AE5EA5">
        <w:pPr>
          <w:pStyle w:val="a7"/>
          <w:jc w:val="center"/>
        </w:pPr>
        <w:fldSimple w:instr=" PAGE   \* MERGEFORMAT ">
          <w:r w:rsidR="002F6C4B">
            <w:rPr>
              <w:noProof/>
            </w:rPr>
            <w:t>2</w:t>
          </w:r>
        </w:fldSimple>
      </w:p>
    </w:sdtContent>
  </w:sdt>
  <w:p w:rsidR="008E7BB8" w:rsidRDefault="008E7B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A78"/>
    <w:multiLevelType w:val="hybridMultilevel"/>
    <w:tmpl w:val="2C226718"/>
    <w:lvl w:ilvl="0" w:tplc="81F879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7D3F2A"/>
    <w:multiLevelType w:val="hybridMultilevel"/>
    <w:tmpl w:val="D8AE2F74"/>
    <w:lvl w:ilvl="0" w:tplc="81F879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B16EF2"/>
    <w:multiLevelType w:val="hybridMultilevel"/>
    <w:tmpl w:val="EFF8B328"/>
    <w:lvl w:ilvl="0" w:tplc="81F879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5A5CFF"/>
    <w:multiLevelType w:val="multilevel"/>
    <w:tmpl w:val="E8D6D63E"/>
    <w:lvl w:ilvl="0">
      <w:start w:val="20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565BE"/>
    <w:multiLevelType w:val="hybridMultilevel"/>
    <w:tmpl w:val="F6DAD2D6"/>
    <w:lvl w:ilvl="0" w:tplc="81F879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485CC2"/>
    <w:multiLevelType w:val="hybridMultilevel"/>
    <w:tmpl w:val="B0DC5EF8"/>
    <w:lvl w:ilvl="0" w:tplc="81F879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456906"/>
    <w:multiLevelType w:val="hybridMultilevel"/>
    <w:tmpl w:val="BF3AC1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5B0"/>
    <w:rsid w:val="00044A12"/>
    <w:rsid w:val="000507A2"/>
    <w:rsid w:val="000D7B76"/>
    <w:rsid w:val="001975B0"/>
    <w:rsid w:val="001C1E6A"/>
    <w:rsid w:val="002456E0"/>
    <w:rsid w:val="00292C18"/>
    <w:rsid w:val="002D33F7"/>
    <w:rsid w:val="002D7AAD"/>
    <w:rsid w:val="002F6C4B"/>
    <w:rsid w:val="00323129"/>
    <w:rsid w:val="00400624"/>
    <w:rsid w:val="00432D51"/>
    <w:rsid w:val="004640A5"/>
    <w:rsid w:val="00486C80"/>
    <w:rsid w:val="004F104B"/>
    <w:rsid w:val="00526B1F"/>
    <w:rsid w:val="005E0710"/>
    <w:rsid w:val="005E1BE1"/>
    <w:rsid w:val="00645417"/>
    <w:rsid w:val="00666BE5"/>
    <w:rsid w:val="00670E8B"/>
    <w:rsid w:val="006E1882"/>
    <w:rsid w:val="00792AC2"/>
    <w:rsid w:val="007C6E4E"/>
    <w:rsid w:val="007E3864"/>
    <w:rsid w:val="00861EF9"/>
    <w:rsid w:val="00874171"/>
    <w:rsid w:val="008D3303"/>
    <w:rsid w:val="008E7BB8"/>
    <w:rsid w:val="009160C3"/>
    <w:rsid w:val="009660F5"/>
    <w:rsid w:val="00A244A8"/>
    <w:rsid w:val="00A571E7"/>
    <w:rsid w:val="00A64A7C"/>
    <w:rsid w:val="00AE545F"/>
    <w:rsid w:val="00AE5EA5"/>
    <w:rsid w:val="00B00CC6"/>
    <w:rsid w:val="00B849F0"/>
    <w:rsid w:val="00D021E7"/>
    <w:rsid w:val="00D17659"/>
    <w:rsid w:val="00D87C72"/>
    <w:rsid w:val="00DD5D4B"/>
    <w:rsid w:val="00E337BD"/>
    <w:rsid w:val="00E6105A"/>
    <w:rsid w:val="00EE41C2"/>
    <w:rsid w:val="00F30C0D"/>
    <w:rsid w:val="00F3348C"/>
    <w:rsid w:val="00F3425E"/>
    <w:rsid w:val="00F3598A"/>
    <w:rsid w:val="00FE3CB2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AD"/>
  </w:style>
  <w:style w:type="paragraph" w:styleId="1">
    <w:name w:val="heading 1"/>
    <w:basedOn w:val="a"/>
    <w:next w:val="a"/>
    <w:link w:val="10"/>
    <w:uiPriority w:val="9"/>
    <w:qFormat/>
    <w:rsid w:val="00F30C0D"/>
    <w:pPr>
      <w:keepNext/>
      <w:keepLines/>
      <w:spacing w:before="240" w:after="240"/>
      <w:jc w:val="both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C0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5E1BE1"/>
    <w:pPr>
      <w:spacing w:before="480"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E1BE1"/>
    <w:pPr>
      <w:spacing w:after="100"/>
    </w:pPr>
  </w:style>
  <w:style w:type="character" w:styleId="a4">
    <w:name w:val="Hyperlink"/>
    <w:basedOn w:val="a0"/>
    <w:uiPriority w:val="99"/>
    <w:unhideWhenUsed/>
    <w:rsid w:val="005E1B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1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B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E1B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1BE1"/>
  </w:style>
  <w:style w:type="paragraph" w:styleId="a9">
    <w:name w:val="footer"/>
    <w:basedOn w:val="a"/>
    <w:link w:val="aa"/>
    <w:uiPriority w:val="99"/>
    <w:semiHidden/>
    <w:unhideWhenUsed/>
    <w:rsid w:val="005E1B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1BE1"/>
  </w:style>
  <w:style w:type="paragraph" w:styleId="ab">
    <w:name w:val="List Paragraph"/>
    <w:basedOn w:val="a"/>
    <w:uiPriority w:val="34"/>
    <w:qFormat/>
    <w:rsid w:val="005E1BE1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EE41C2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EE41C2"/>
    <w:pPr>
      <w:shd w:val="clear" w:color="auto" w:fill="FFFFFF"/>
      <w:spacing w:before="180" w:after="900" w:line="0" w:lineRule="atLeast"/>
      <w:ind w:firstLine="0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0482F-B8B4-429C-845F-A64D40C6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 К Ю</dc:creator>
  <cp:lastModifiedBy>034BondarevaNA1</cp:lastModifiedBy>
  <cp:revision>2</cp:revision>
  <dcterms:created xsi:type="dcterms:W3CDTF">2023-08-14T10:11:00Z</dcterms:created>
  <dcterms:modified xsi:type="dcterms:W3CDTF">2023-08-14T10:11:00Z</dcterms:modified>
</cp:coreProperties>
</file>