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A8" w:rsidRDefault="000A61A8" w:rsidP="0043009D">
      <w:pPr>
        <w:spacing w:after="0" w:line="300" w:lineRule="exact"/>
        <w:ind w:left="-425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0A61A8" w:rsidRDefault="000A61A8" w:rsidP="0043009D">
      <w:pPr>
        <w:spacing w:after="0" w:line="300" w:lineRule="exact"/>
        <w:ind w:left="-425"/>
        <w:jc w:val="both"/>
        <w:rPr>
          <w:rFonts w:ascii="Times New Roman" w:hAnsi="Times New Roman"/>
          <w:szCs w:val="28"/>
        </w:rPr>
      </w:pPr>
    </w:p>
    <w:p w:rsidR="000A61A8" w:rsidRPr="000C20DD" w:rsidRDefault="000A61A8" w:rsidP="000A61A8">
      <w:pPr>
        <w:jc w:val="center"/>
        <w:rPr>
          <w:rFonts w:ascii="Times New Roman" w:hAnsi="Times New Roman"/>
          <w:b/>
          <w:sz w:val="24"/>
          <w:szCs w:val="24"/>
        </w:rPr>
      </w:pPr>
      <w:r w:rsidRPr="000C20DD">
        <w:rPr>
          <w:rFonts w:ascii="Times New Roman" w:hAnsi="Times New Roman"/>
          <w:b/>
          <w:sz w:val="24"/>
          <w:szCs w:val="24"/>
        </w:rPr>
        <w:t>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0A61A8" w:rsidRPr="000C20DD" w:rsidRDefault="000A61A8" w:rsidP="000A61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20DD">
        <w:rPr>
          <w:rFonts w:ascii="Times New Roman" w:hAnsi="Times New Roman"/>
          <w:sz w:val="24"/>
          <w:szCs w:val="24"/>
        </w:rPr>
        <w:t>В целях профилактики производственного травматизма и профессиональной заболеваемости используется комплекс мер экономической заинтересованности страхователей, одна из которых - финансовое обеспечение предупредительных мер по сокращению производственного травматизма и профессиональных заболеваний работников (ст.1. Федерального закона от 24.07.1998 N 125-ФЗ).</w:t>
      </w:r>
    </w:p>
    <w:p w:rsidR="000A61A8" w:rsidRPr="000C20DD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0C20DD">
        <w:rPr>
          <w:rFonts w:ascii="Times New Roman" w:hAnsi="Times New Roman"/>
          <w:b/>
          <w:sz w:val="24"/>
          <w:szCs w:val="24"/>
        </w:rPr>
        <w:t>Минтрудом России издан приказ от 14.07.2021 № 467н</w:t>
      </w:r>
      <w:r w:rsidRPr="000C20DD">
        <w:rPr>
          <w:rFonts w:ascii="Times New Roman" w:hAnsi="Times New Roman"/>
          <w:sz w:val="24"/>
          <w:szCs w:val="24"/>
        </w:rPr>
        <w:t> 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</w:p>
    <w:p w:rsidR="000A61A8" w:rsidRPr="000C20DD" w:rsidRDefault="000A61A8" w:rsidP="008260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20DD">
        <w:rPr>
          <w:rFonts w:ascii="Times New Roman" w:hAnsi="Times New Roman"/>
          <w:sz w:val="24"/>
          <w:szCs w:val="24"/>
        </w:rPr>
        <w:t xml:space="preserve">Страхователь направляет на финансовое обеспечение предупредительных мер до </w:t>
      </w:r>
      <w:r w:rsidRPr="000C20DD">
        <w:rPr>
          <w:rFonts w:ascii="Times New Roman" w:hAnsi="Times New Roman"/>
          <w:b/>
          <w:sz w:val="24"/>
          <w:szCs w:val="24"/>
        </w:rPr>
        <w:t>20 процентов</w:t>
      </w:r>
      <w:r w:rsidRPr="000C20DD">
        <w:rPr>
          <w:rFonts w:ascii="Times New Roman" w:hAnsi="Times New Roman"/>
          <w:sz w:val="24"/>
          <w:szCs w:val="24"/>
        </w:rPr>
        <w:t> сумм страховых взносов, начисленных им за предшествующий календарный год, </w:t>
      </w:r>
      <w:r w:rsidRPr="000C20DD">
        <w:rPr>
          <w:rFonts w:ascii="Times New Roman" w:hAnsi="Times New Roman"/>
          <w:b/>
          <w:sz w:val="24"/>
          <w:szCs w:val="24"/>
        </w:rPr>
        <w:t>за вычетом расходов</w:t>
      </w:r>
      <w:r w:rsidRPr="000C20DD">
        <w:rPr>
          <w:rFonts w:ascii="Times New Roman" w:hAnsi="Times New Roman"/>
          <w:sz w:val="24"/>
          <w:szCs w:val="24"/>
        </w:rPr>
        <w:t> 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0A61A8" w:rsidRPr="000C20DD" w:rsidRDefault="000A61A8" w:rsidP="008260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20DD">
        <w:rPr>
          <w:rFonts w:ascii="Times New Roman" w:hAnsi="Times New Roman"/>
          <w:b/>
          <w:sz w:val="24"/>
          <w:szCs w:val="24"/>
        </w:rPr>
        <w:t>Объем средств</w:t>
      </w:r>
      <w:r w:rsidRPr="000C20DD">
        <w:rPr>
          <w:rFonts w:ascii="Times New Roman" w:hAnsi="Times New Roman"/>
          <w:sz w:val="24"/>
          <w:szCs w:val="24"/>
        </w:rPr>
        <w:t>, направляемых на указанные цели </w:t>
      </w:r>
      <w:r w:rsidRPr="000C20DD">
        <w:rPr>
          <w:rFonts w:ascii="Times New Roman" w:hAnsi="Times New Roman"/>
          <w:b/>
          <w:sz w:val="24"/>
          <w:szCs w:val="24"/>
        </w:rPr>
        <w:t>может быть увеличен до</w:t>
      </w:r>
      <w:r w:rsidRPr="000C20DD">
        <w:rPr>
          <w:rFonts w:ascii="Times New Roman" w:hAnsi="Times New Roman"/>
          <w:sz w:val="24"/>
          <w:szCs w:val="24"/>
        </w:rPr>
        <w:t xml:space="preserve"> </w:t>
      </w:r>
      <w:r w:rsidRPr="000C20DD">
        <w:rPr>
          <w:rFonts w:ascii="Times New Roman" w:hAnsi="Times New Roman"/>
          <w:b/>
          <w:sz w:val="24"/>
          <w:szCs w:val="24"/>
        </w:rPr>
        <w:t>30 процентов</w:t>
      </w:r>
      <w:r w:rsidRPr="000C20DD">
        <w:rPr>
          <w:rFonts w:ascii="Times New Roman" w:hAnsi="Times New Roman"/>
          <w:sz w:val="24"/>
          <w:szCs w:val="24"/>
        </w:rPr>
        <w:t> сумм страховых взносов на обязательное социальное страхование от несчастных случаев на производстве и профессиональных заболеваний, начисленных им за предшествующий календарный год, </w:t>
      </w:r>
      <w:r w:rsidRPr="000C20DD">
        <w:rPr>
          <w:rFonts w:ascii="Times New Roman" w:hAnsi="Times New Roman"/>
          <w:b/>
          <w:sz w:val="24"/>
          <w:szCs w:val="24"/>
        </w:rPr>
        <w:t>за вычетом</w:t>
      </w:r>
      <w:r w:rsidRPr="000C20DD">
        <w:rPr>
          <w:rFonts w:ascii="Times New Roman" w:hAnsi="Times New Roman"/>
          <w:sz w:val="24"/>
          <w:szCs w:val="24"/>
        </w:rPr>
        <w:t> расходов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обратно, </w:t>
      </w:r>
      <w:r w:rsidRPr="000C20DD">
        <w:rPr>
          <w:rFonts w:ascii="Times New Roman" w:hAnsi="Times New Roman"/>
          <w:b/>
          <w:sz w:val="24"/>
          <w:szCs w:val="24"/>
        </w:rPr>
        <w:t>при условии</w:t>
      </w:r>
      <w:r w:rsidRPr="000C20DD">
        <w:rPr>
          <w:rFonts w:ascii="Times New Roman" w:hAnsi="Times New Roman"/>
          <w:sz w:val="24"/>
          <w:szCs w:val="24"/>
        </w:rPr>
        <w:t xml:space="preserve"> </w:t>
      </w:r>
      <w:r w:rsidRPr="000C20DD">
        <w:rPr>
          <w:rFonts w:ascii="Times New Roman" w:hAnsi="Times New Roman"/>
          <w:b/>
          <w:sz w:val="24"/>
          <w:szCs w:val="24"/>
        </w:rPr>
        <w:t>направления</w:t>
      </w:r>
      <w:r w:rsidRPr="000C20DD">
        <w:rPr>
          <w:rFonts w:ascii="Times New Roman" w:hAnsi="Times New Roman"/>
          <w:sz w:val="24"/>
          <w:szCs w:val="24"/>
        </w:rPr>
        <w:t> страхователем </w:t>
      </w:r>
      <w:r w:rsidRPr="000C20DD">
        <w:rPr>
          <w:rFonts w:ascii="Times New Roman" w:hAnsi="Times New Roman"/>
          <w:b/>
          <w:sz w:val="24"/>
          <w:szCs w:val="24"/>
        </w:rPr>
        <w:t>дополнительного объема средств на санаторно-курортное лечение работников</w:t>
      </w:r>
      <w:r w:rsidRPr="000C20DD">
        <w:rPr>
          <w:rFonts w:ascii="Times New Roman" w:hAnsi="Times New Roman"/>
          <w:sz w:val="24"/>
          <w:szCs w:val="24"/>
        </w:rPr>
        <w:t> 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0A61A8" w:rsidRPr="000C20DD" w:rsidRDefault="000A61A8" w:rsidP="008260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20DD">
        <w:rPr>
          <w:rFonts w:ascii="Times New Roman" w:hAnsi="Times New Roman"/>
          <w:sz w:val="24"/>
          <w:szCs w:val="24"/>
        </w:rPr>
        <w:t>В случае если страхователь с численностью работающих </w:t>
      </w:r>
      <w:r w:rsidRPr="00DB76C4">
        <w:rPr>
          <w:rFonts w:ascii="Times New Roman" w:hAnsi="Times New Roman"/>
          <w:b/>
          <w:sz w:val="24"/>
          <w:szCs w:val="24"/>
        </w:rPr>
        <w:t>до 100 человек</w:t>
      </w:r>
      <w:r w:rsidRPr="000C20DD">
        <w:rPr>
          <w:rFonts w:ascii="Times New Roman" w:hAnsi="Times New Roman"/>
          <w:sz w:val="24"/>
          <w:szCs w:val="24"/>
        </w:rPr>
        <w:t> не осуществлял </w:t>
      </w:r>
      <w:r w:rsidRPr="00DB76C4">
        <w:rPr>
          <w:rFonts w:ascii="Times New Roman" w:hAnsi="Times New Roman"/>
          <w:b/>
          <w:sz w:val="24"/>
          <w:szCs w:val="24"/>
        </w:rPr>
        <w:t>два последовательных календарных года</w:t>
      </w:r>
      <w:r w:rsidRPr="000C20DD">
        <w:rPr>
          <w:rFonts w:ascii="Times New Roman" w:hAnsi="Times New Roman"/>
          <w:sz w:val="24"/>
          <w:szCs w:val="24"/>
        </w:rPr>
        <w:t>, предшествующие текущему финансовому году, финансовое обеспечение предупредительных мер, </w:t>
      </w:r>
      <w:r w:rsidRPr="00DB76C4">
        <w:rPr>
          <w:rFonts w:ascii="Times New Roman" w:hAnsi="Times New Roman"/>
          <w:b/>
          <w:sz w:val="24"/>
          <w:szCs w:val="24"/>
        </w:rPr>
        <w:t>объем средств</w:t>
      </w:r>
      <w:r w:rsidRPr="000C20DD">
        <w:rPr>
          <w:rFonts w:ascii="Times New Roman" w:hAnsi="Times New Roman"/>
          <w:sz w:val="24"/>
          <w:szCs w:val="24"/>
        </w:rPr>
        <w:t>, направляемых таким страхователем на финансовое обеспечение указанных мер, </w:t>
      </w:r>
      <w:r w:rsidRPr="00DB76C4">
        <w:rPr>
          <w:rFonts w:ascii="Times New Roman" w:hAnsi="Times New Roman"/>
          <w:b/>
          <w:sz w:val="24"/>
          <w:szCs w:val="24"/>
        </w:rPr>
        <w:t>рассчитывается</w:t>
      </w:r>
      <w:r w:rsidRPr="000C20DD">
        <w:rPr>
          <w:rFonts w:ascii="Times New Roman" w:hAnsi="Times New Roman"/>
          <w:sz w:val="24"/>
          <w:szCs w:val="24"/>
        </w:rPr>
        <w:t> исходя из отчетных данных </w:t>
      </w:r>
      <w:r w:rsidRPr="00DB76C4">
        <w:rPr>
          <w:rFonts w:ascii="Times New Roman" w:hAnsi="Times New Roman"/>
          <w:b/>
          <w:sz w:val="24"/>
          <w:szCs w:val="24"/>
        </w:rPr>
        <w:t>за три последовательных календарных года</w:t>
      </w:r>
      <w:r w:rsidRPr="000C20DD">
        <w:rPr>
          <w:rFonts w:ascii="Times New Roman" w:hAnsi="Times New Roman"/>
          <w:sz w:val="24"/>
          <w:szCs w:val="24"/>
        </w:rPr>
        <w:t>, предшествующие текущему финансовому году, </w:t>
      </w:r>
      <w:r w:rsidRPr="00DB76C4">
        <w:rPr>
          <w:rFonts w:ascii="Times New Roman" w:hAnsi="Times New Roman"/>
          <w:b/>
          <w:sz w:val="24"/>
          <w:szCs w:val="24"/>
        </w:rPr>
        <w:t>и не может превышать сумму страховых взносов, подлежащих перечислению им в территориальных орган Фонда в текущем финансовом году</w:t>
      </w:r>
      <w:r w:rsidRPr="000C20DD">
        <w:rPr>
          <w:rFonts w:ascii="Times New Roman" w:hAnsi="Times New Roman"/>
          <w:sz w:val="24"/>
          <w:szCs w:val="24"/>
        </w:rPr>
        <w:t>.</w:t>
      </w:r>
    </w:p>
    <w:p w:rsidR="000A61A8" w:rsidRPr="00DB76C4" w:rsidRDefault="000A61A8" w:rsidP="000A61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t>Финансовому обеспечению за счет сумм страховых взносов подлежат расходы страхователя на следующие мероприятия</w:t>
      </w:r>
      <w:r w:rsidRPr="00DB76C4">
        <w:rPr>
          <w:rFonts w:ascii="Times New Roman" w:hAnsi="Times New Roman"/>
          <w:sz w:val="24"/>
          <w:szCs w:val="24"/>
        </w:rPr>
        <w:t>:</w:t>
      </w:r>
    </w:p>
    <w:p w:rsidR="000A61A8" w:rsidRPr="00DB76C4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t>а)</w:t>
      </w:r>
      <w:r w:rsidRPr="00DB76C4">
        <w:rPr>
          <w:rFonts w:ascii="Times New Roman" w:hAnsi="Times New Roman"/>
          <w:sz w:val="24"/>
          <w:szCs w:val="24"/>
        </w:rPr>
        <w:t> проведение специальной оценки условий труда (СОУТ);</w:t>
      </w:r>
    </w:p>
    <w:p w:rsidR="000A61A8" w:rsidRPr="00DB76C4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lastRenderedPageBreak/>
        <w:t>Внимание! В отношении рабочих мест государственных гражданских служащих по ФЗ № 79-ФЗ от 27.07.2004 г. и муниципальных служащих по ФЗ № 25-ФЗ от 02.03.2007 г., проведение СОУТ не может быть осуществлено за счет финансирования предупредительных мер в связи с тем, что порядок законодательно не урегулирован</w:t>
      </w:r>
      <w:r w:rsidRPr="00DB76C4">
        <w:rPr>
          <w:rFonts w:ascii="Times New Roman" w:hAnsi="Times New Roman"/>
          <w:sz w:val="24"/>
          <w:szCs w:val="24"/>
        </w:rPr>
        <w:t>.</w:t>
      </w:r>
    </w:p>
    <w:p w:rsidR="000A61A8" w:rsidRPr="00DB76C4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t>б)</w:t>
      </w:r>
      <w:r w:rsidRPr="00DB76C4">
        <w:rPr>
          <w:rFonts w:ascii="Times New Roman" w:hAnsi="Times New Roman"/>
          <w:sz w:val="24"/>
          <w:szCs w:val="24"/>
        </w:rPr>
        <w:t> 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0A61A8" w:rsidRPr="00DB76C4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t>в)</w:t>
      </w:r>
      <w:r w:rsidRPr="00DB76C4">
        <w:rPr>
          <w:rFonts w:ascii="Times New Roman" w:hAnsi="Times New Roman"/>
          <w:sz w:val="24"/>
          <w:szCs w:val="24"/>
        </w:rPr>
        <w:t> обучение по охране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объекте;</w:t>
      </w:r>
    </w:p>
    <w:p w:rsidR="000A61A8" w:rsidRPr="00DB76C4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t>г)</w:t>
      </w:r>
      <w:r w:rsidRPr="00DB76C4">
        <w:rPr>
          <w:rFonts w:ascii="Times New Roman" w:hAnsi="Times New Roman"/>
          <w:sz w:val="24"/>
          <w:szCs w:val="24"/>
        </w:rPr>
        <w:t> 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</w:t>
      </w:r>
      <w:r w:rsidRPr="00DB76C4">
        <w:rPr>
          <w:rFonts w:ascii="Times New Roman" w:hAnsi="Times New Roman"/>
          <w:b/>
          <w:sz w:val="24"/>
          <w:szCs w:val="24"/>
        </w:rPr>
        <w:t>, изготовленных на территории государств - членов Евразийского экономического союза</w:t>
      </w:r>
      <w:r w:rsidRPr="00DB76C4">
        <w:rPr>
          <w:rFonts w:ascii="Times New Roman" w:hAnsi="Times New Roman"/>
          <w:sz w:val="24"/>
          <w:szCs w:val="24"/>
        </w:rPr>
        <w:t>, 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проведения специальной оценки условий труда, а также смывающих и (или) обезвреживающих средств;</w:t>
      </w:r>
    </w:p>
    <w:p w:rsidR="000A61A8" w:rsidRPr="00DB76C4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t>Внимание! Для обоснования финансового обеспечения дополнительно к прилагаемым к заявлению документам, необходимо представить</w:t>
      </w:r>
      <w:r w:rsidRPr="00DB76C4">
        <w:rPr>
          <w:rFonts w:ascii="Times New Roman" w:hAnsi="Times New Roman"/>
          <w:sz w:val="24"/>
          <w:szCs w:val="24"/>
        </w:rPr>
        <w:t>:</w:t>
      </w:r>
    </w:p>
    <w:p w:rsidR="000A61A8" w:rsidRPr="00DB76C4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sz w:val="24"/>
          <w:szCs w:val="24"/>
        </w:rPr>
        <w:t>- копию </w:t>
      </w:r>
      <w:r w:rsidRPr="00672DE0">
        <w:rPr>
          <w:rFonts w:ascii="Times New Roman" w:hAnsi="Times New Roman"/>
          <w:color w:val="4472C4" w:themeColor="accent1"/>
          <w:sz w:val="24"/>
          <w:szCs w:val="24"/>
          <w:u w:val="single"/>
        </w:rPr>
        <w:t>заключения</w:t>
      </w:r>
      <w:r w:rsidRPr="00DB76C4">
        <w:rPr>
          <w:rFonts w:ascii="Times New Roman" w:hAnsi="Times New Roman"/>
          <w:sz w:val="24"/>
          <w:szCs w:val="24"/>
        </w:rPr>
        <w:t> 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специальной одежды, специальной обуви или других средств индивидуальной защиты - </w:t>
      </w:r>
      <w:r w:rsidRPr="00DB76C4">
        <w:rPr>
          <w:rFonts w:ascii="Times New Roman" w:hAnsi="Times New Roman"/>
          <w:b/>
          <w:sz w:val="24"/>
          <w:szCs w:val="24"/>
        </w:rPr>
        <w:t>для СИЗ, изготовленных на территории Российской Федерации</w:t>
      </w:r>
      <w:r w:rsidRPr="00DB76C4">
        <w:rPr>
          <w:rFonts w:ascii="Times New Roman" w:hAnsi="Times New Roman"/>
          <w:sz w:val="24"/>
          <w:szCs w:val="24"/>
        </w:rPr>
        <w:t>;</w:t>
      </w:r>
    </w:p>
    <w:p w:rsidR="000A61A8" w:rsidRPr="00DB76C4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sz w:val="24"/>
          <w:szCs w:val="24"/>
        </w:rPr>
        <w:t>- копию декларации о происхождении товара или сертификата о происхождении товара - для СИЗ, изготовленных на территории других государств - членов Евразийского экономического союза;</w:t>
      </w:r>
    </w:p>
    <w:p w:rsidR="000A61A8" w:rsidRPr="00DB76C4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t>д)</w:t>
      </w:r>
      <w:r w:rsidRPr="00DB76C4">
        <w:rPr>
          <w:rFonts w:ascii="Times New Roman" w:hAnsi="Times New Roman"/>
          <w:sz w:val="24"/>
          <w:szCs w:val="24"/>
        </w:rPr>
        <w:t> санаторно-курортное лечение работников, занятых на работах с вредными и (или) опасными производственными факторами (исключая размещение в номерах высшей категории);</w:t>
      </w:r>
    </w:p>
    <w:p w:rsidR="000A61A8" w:rsidRPr="00DB76C4" w:rsidRDefault="000A61A8" w:rsidP="000A61A8">
      <w:pPr>
        <w:jc w:val="both"/>
        <w:rPr>
          <w:rFonts w:ascii="Times New Roman" w:hAnsi="Times New Roman"/>
          <w:b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t>Внимание! Согласно Приказа Минздрава России от 05.05.2016 г. №279н, длительность санаторно-курортного лечения работников составляет от 14 до 21 дня. Договор необходимо заключать с организацией, непосредственно осуществляющей санаторно-курортное лечение работников.</w:t>
      </w:r>
    </w:p>
    <w:p w:rsidR="000A61A8" w:rsidRPr="00DB76C4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t>е)</w:t>
      </w:r>
      <w:r w:rsidRPr="00DB76C4">
        <w:rPr>
          <w:rFonts w:ascii="Times New Roman" w:hAnsi="Times New Roman"/>
          <w:sz w:val="24"/>
          <w:szCs w:val="24"/>
        </w:rPr>
        <w:t> проведение обязательных периодических медицинских осмотров (обследований) работников, занятых на работах с вредными и (или) опасн</w:t>
      </w:r>
      <w:r>
        <w:rPr>
          <w:rFonts w:ascii="Times New Roman" w:hAnsi="Times New Roman"/>
          <w:sz w:val="24"/>
          <w:szCs w:val="24"/>
        </w:rPr>
        <w:t>ыми производственными факторами</w:t>
      </w:r>
      <w:r w:rsidRPr="00DB76C4">
        <w:rPr>
          <w:rFonts w:ascii="Times New Roman" w:hAnsi="Times New Roman"/>
          <w:sz w:val="24"/>
          <w:szCs w:val="24"/>
        </w:rPr>
        <w:t>;</w:t>
      </w:r>
    </w:p>
    <w:p w:rsidR="000A61A8" w:rsidRPr="00DB76C4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t>ж)</w:t>
      </w:r>
      <w:r w:rsidRPr="00DB76C4">
        <w:rPr>
          <w:rFonts w:ascii="Times New Roman" w:hAnsi="Times New Roman"/>
          <w:sz w:val="24"/>
          <w:szCs w:val="24"/>
        </w:rPr>
        <w:t xml:space="preserve"> обеспечение лечебно-профилактическим питанием (далее - ЛПП) работников, для которых указанное питание предусмотрено Перечнем производств, профессий и должностей, работа в которых дает право на бесплатное получение лечебно-профилактического питания в связи с</w:t>
      </w:r>
      <w:r>
        <w:rPr>
          <w:rFonts w:ascii="Times New Roman" w:hAnsi="Times New Roman"/>
          <w:sz w:val="24"/>
          <w:szCs w:val="24"/>
        </w:rPr>
        <w:t xml:space="preserve"> особо вредными условиями труда</w:t>
      </w:r>
      <w:r w:rsidRPr="00DB76C4">
        <w:rPr>
          <w:rFonts w:ascii="Times New Roman" w:hAnsi="Times New Roman"/>
          <w:sz w:val="24"/>
          <w:szCs w:val="24"/>
        </w:rPr>
        <w:t>;</w:t>
      </w:r>
    </w:p>
    <w:p w:rsidR="000A61A8" w:rsidRPr="00DB76C4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t>з)</w:t>
      </w:r>
      <w:r w:rsidRPr="00DB76C4">
        <w:rPr>
          <w:rFonts w:ascii="Times New Roman" w:hAnsi="Times New Roman"/>
          <w:sz w:val="24"/>
          <w:szCs w:val="24"/>
        </w:rPr>
        <w:t xml:space="preserve"> приобретение страхователями, работники которых проходят обязательные </w:t>
      </w:r>
      <w:proofErr w:type="spellStart"/>
      <w:r w:rsidRPr="00DB76C4">
        <w:rPr>
          <w:rFonts w:ascii="Times New Roman" w:hAnsi="Times New Roman"/>
          <w:sz w:val="24"/>
          <w:szCs w:val="24"/>
        </w:rPr>
        <w:t>предсменные</w:t>
      </w:r>
      <w:proofErr w:type="spellEnd"/>
      <w:r w:rsidRPr="00DB76C4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DB76C4">
        <w:rPr>
          <w:rFonts w:ascii="Times New Roman" w:hAnsi="Times New Roman"/>
          <w:sz w:val="24"/>
          <w:szCs w:val="24"/>
        </w:rPr>
        <w:t>предрейсовые</w:t>
      </w:r>
      <w:proofErr w:type="spellEnd"/>
      <w:r w:rsidRPr="00DB76C4">
        <w:rPr>
          <w:rFonts w:ascii="Times New Roman" w:hAnsi="Times New Roman"/>
          <w:sz w:val="24"/>
          <w:szCs w:val="24"/>
        </w:rPr>
        <w:t xml:space="preserve"> медицинские осмотры, медицинских изделий для количественного определения алкоголя в выдыхаемом воздухе, а также для определения наличия </w:t>
      </w:r>
      <w:proofErr w:type="spellStart"/>
      <w:r w:rsidRPr="00DB76C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DB76C4">
        <w:rPr>
          <w:rFonts w:ascii="Times New Roman" w:hAnsi="Times New Roman"/>
          <w:sz w:val="24"/>
          <w:szCs w:val="24"/>
        </w:rPr>
        <w:t xml:space="preserve"> веществ в моче, зарегистрир</w:t>
      </w:r>
      <w:r>
        <w:rPr>
          <w:rFonts w:ascii="Times New Roman" w:hAnsi="Times New Roman"/>
          <w:sz w:val="24"/>
          <w:szCs w:val="24"/>
        </w:rPr>
        <w:t>ованных в установленном порядке</w:t>
      </w:r>
      <w:r w:rsidRPr="00DB76C4">
        <w:rPr>
          <w:rFonts w:ascii="Times New Roman" w:hAnsi="Times New Roman"/>
          <w:sz w:val="24"/>
          <w:szCs w:val="24"/>
        </w:rPr>
        <w:t>;</w:t>
      </w:r>
    </w:p>
    <w:p w:rsidR="000A61A8" w:rsidRPr="00DB76C4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lastRenderedPageBreak/>
        <w:t>и)</w:t>
      </w:r>
      <w:r w:rsidRPr="00DB76C4">
        <w:rPr>
          <w:rFonts w:ascii="Times New Roman" w:hAnsi="Times New Roman"/>
          <w:sz w:val="24"/>
          <w:szCs w:val="24"/>
        </w:rPr>
        <w:t xml:space="preserve"> приобретение страхователями, осуществляющими пассажирские и грузовые перевозки, приборов контроля за режимом труда </w:t>
      </w:r>
      <w:r>
        <w:rPr>
          <w:rFonts w:ascii="Times New Roman" w:hAnsi="Times New Roman"/>
          <w:sz w:val="24"/>
          <w:szCs w:val="24"/>
        </w:rPr>
        <w:t>и отдыха водителей (</w:t>
      </w:r>
      <w:proofErr w:type="spellStart"/>
      <w:r>
        <w:rPr>
          <w:rFonts w:ascii="Times New Roman" w:hAnsi="Times New Roman"/>
          <w:sz w:val="24"/>
          <w:szCs w:val="24"/>
        </w:rPr>
        <w:t>тахографов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DB76C4">
        <w:rPr>
          <w:rFonts w:ascii="Times New Roman" w:hAnsi="Times New Roman"/>
          <w:sz w:val="24"/>
          <w:szCs w:val="24"/>
        </w:rPr>
        <w:t>;</w:t>
      </w:r>
    </w:p>
    <w:p w:rsidR="000A61A8" w:rsidRPr="00DB76C4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t>к)</w:t>
      </w:r>
      <w:r w:rsidRPr="00DB76C4">
        <w:rPr>
          <w:rFonts w:ascii="Times New Roman" w:hAnsi="Times New Roman"/>
          <w:sz w:val="24"/>
          <w:szCs w:val="24"/>
        </w:rPr>
        <w:t> приобретение страхователями апт</w:t>
      </w:r>
      <w:r>
        <w:rPr>
          <w:rFonts w:ascii="Times New Roman" w:hAnsi="Times New Roman"/>
          <w:sz w:val="24"/>
          <w:szCs w:val="24"/>
        </w:rPr>
        <w:t>ечек для оказания первой помощи</w:t>
      </w:r>
      <w:r w:rsidRPr="00DB76C4">
        <w:rPr>
          <w:rFonts w:ascii="Times New Roman" w:hAnsi="Times New Roman"/>
          <w:sz w:val="24"/>
          <w:szCs w:val="24"/>
        </w:rPr>
        <w:t>;</w:t>
      </w:r>
    </w:p>
    <w:p w:rsidR="000A61A8" w:rsidRPr="00DB76C4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t>л)</w:t>
      </w:r>
      <w:r w:rsidRPr="00DB76C4">
        <w:rPr>
          <w:rFonts w:ascii="Times New Roman" w:hAnsi="Times New Roman"/>
          <w:sz w:val="24"/>
          <w:szCs w:val="24"/>
        </w:rPr>
        <w:t> 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0A61A8" w:rsidRPr="00DB76C4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t>м)</w:t>
      </w:r>
      <w:r w:rsidRPr="00DB76C4">
        <w:rPr>
          <w:rFonts w:ascii="Times New Roman" w:hAnsi="Times New Roman"/>
          <w:sz w:val="24"/>
          <w:szCs w:val="24"/>
        </w:rPr>
        <w:t> приобретение отдельных приборов, устройств, оборудования и  (или) комплексов (систем) приборов, устройств, оборудования, непосредственно 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  дистанционную видео- и аудио фиксацию инструктажей, обучения и иных форм подготовки работников по безопасному производству работ, а также хран</w:t>
      </w:r>
      <w:r>
        <w:rPr>
          <w:rFonts w:ascii="Times New Roman" w:hAnsi="Times New Roman"/>
          <w:sz w:val="24"/>
          <w:szCs w:val="24"/>
        </w:rPr>
        <w:t>ение результатов такой фиксации</w:t>
      </w:r>
      <w:r w:rsidRPr="00DB76C4">
        <w:rPr>
          <w:rFonts w:ascii="Times New Roman" w:hAnsi="Times New Roman"/>
          <w:sz w:val="24"/>
          <w:szCs w:val="24"/>
        </w:rPr>
        <w:t>;</w:t>
      </w:r>
    </w:p>
    <w:p w:rsidR="000A61A8" w:rsidRPr="00DB76C4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t>н)</w:t>
      </w:r>
      <w:r w:rsidRPr="00DB76C4">
        <w:rPr>
          <w:rFonts w:ascii="Times New Roman" w:hAnsi="Times New Roman"/>
          <w:sz w:val="24"/>
          <w:szCs w:val="24"/>
        </w:rPr>
        <w:t> 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(исключая размеще</w:t>
      </w:r>
      <w:r>
        <w:rPr>
          <w:rFonts w:ascii="Times New Roman" w:hAnsi="Times New Roman"/>
          <w:sz w:val="24"/>
          <w:szCs w:val="24"/>
        </w:rPr>
        <w:t>ние в номерах высшей категории)</w:t>
      </w:r>
      <w:r w:rsidRPr="00DB76C4">
        <w:rPr>
          <w:rFonts w:ascii="Times New Roman" w:hAnsi="Times New Roman"/>
          <w:sz w:val="24"/>
          <w:szCs w:val="24"/>
        </w:rPr>
        <w:t>;</w:t>
      </w:r>
    </w:p>
    <w:p w:rsidR="000A61A8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t>о)</w:t>
      </w:r>
      <w:r w:rsidRPr="00DB76C4">
        <w:rPr>
          <w:rFonts w:ascii="Times New Roman" w:hAnsi="Times New Roman"/>
          <w:sz w:val="24"/>
          <w:szCs w:val="24"/>
        </w:rPr>
        <w:t> 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</w:t>
      </w:r>
      <w:r>
        <w:rPr>
          <w:rFonts w:ascii="Times New Roman" w:hAnsi="Times New Roman"/>
          <w:sz w:val="24"/>
          <w:szCs w:val="24"/>
        </w:rPr>
        <w:t>ыми производственными факторами</w:t>
      </w:r>
      <w:r w:rsidRPr="00DB76C4">
        <w:rPr>
          <w:rFonts w:ascii="Times New Roman" w:hAnsi="Times New Roman"/>
          <w:sz w:val="24"/>
          <w:szCs w:val="24"/>
        </w:rPr>
        <w:t>.</w:t>
      </w:r>
    </w:p>
    <w:p w:rsidR="000A61A8" w:rsidRPr="000A61A8" w:rsidRDefault="000A61A8" w:rsidP="000A61A8">
      <w:pPr>
        <w:pStyle w:val="ConsPlusNormal"/>
        <w:tabs>
          <w:tab w:val="left" w:pos="3402"/>
        </w:tabs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A61A8">
        <w:rPr>
          <w:rFonts w:ascii="Times New Roman" w:hAnsi="Times New Roman" w:cs="Times New Roman"/>
          <w:sz w:val="24"/>
          <w:szCs w:val="24"/>
        </w:rPr>
        <w:t xml:space="preserve">п) приобретение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</w:t>
      </w:r>
      <w:proofErr w:type="spellStart"/>
      <w:r w:rsidRPr="000A61A8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0A61A8">
        <w:rPr>
          <w:rFonts w:ascii="Times New Roman" w:hAnsi="Times New Roman" w:cs="Times New Roman"/>
          <w:sz w:val="24"/>
          <w:szCs w:val="24"/>
        </w:rPr>
        <w:t xml:space="preserve">), обеспечивающих безопасное ведение горных работ, в рамках модернизации основных производств, в соответствии с </w:t>
      </w:r>
      <w:hyperlink r:id="rId5">
        <w:r w:rsidRPr="000A61A8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0A61A8">
        <w:rPr>
          <w:rFonts w:ascii="Times New Roman" w:hAnsi="Times New Roman" w:cs="Times New Roman"/>
          <w:sz w:val="24"/>
          <w:szCs w:val="24"/>
        </w:rPr>
        <w:t xml:space="preserve"> рекомендуемых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</w:t>
      </w:r>
      <w:proofErr w:type="spellStart"/>
      <w:r w:rsidRPr="000A61A8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0A61A8">
        <w:rPr>
          <w:rFonts w:ascii="Times New Roman" w:hAnsi="Times New Roman" w:cs="Times New Roman"/>
          <w:sz w:val="24"/>
          <w:szCs w:val="24"/>
        </w:rPr>
        <w:t>), обеспечивающих безопасное ведение горных работ, в рамках модернизации основных производств, утверждаемым Министерством труда и социальной защиты Российской Федерации;</w:t>
      </w:r>
    </w:p>
    <w:p w:rsidR="000A61A8" w:rsidRPr="000A61A8" w:rsidRDefault="000A61A8" w:rsidP="000A61A8">
      <w:pPr>
        <w:pStyle w:val="ConsPlusNormal"/>
        <w:tabs>
          <w:tab w:val="left" w:pos="3402"/>
        </w:tabs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0A61A8">
        <w:rPr>
          <w:rFonts w:ascii="Times New Roman" w:hAnsi="Times New Roman" w:cs="Times New Roman"/>
          <w:sz w:val="24"/>
          <w:szCs w:val="24"/>
        </w:rPr>
        <w:t xml:space="preserve">р) обеспечение бесплатной выдачей молока или других равноценных пищевых продуктов работников, которым бесплатная выдача молока или других равноценных пищевых продуктов предусмотрено </w:t>
      </w:r>
      <w:hyperlink r:id="rId6">
        <w:r w:rsidRPr="000A61A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A61A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 (далее - приказ </w:t>
      </w:r>
      <w:proofErr w:type="spellStart"/>
      <w:r w:rsidRPr="000A61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A61A8">
        <w:rPr>
          <w:rFonts w:ascii="Times New Roman" w:hAnsi="Times New Roman" w:cs="Times New Roman"/>
          <w:sz w:val="24"/>
          <w:szCs w:val="24"/>
        </w:rPr>
        <w:t xml:space="preserve"> России от 16 февраля 2009 г. N 45н).</w:t>
      </w:r>
    </w:p>
    <w:p w:rsidR="000A61A8" w:rsidRPr="000A61A8" w:rsidRDefault="000A61A8" w:rsidP="000A61A8">
      <w:pPr>
        <w:pStyle w:val="ConsPlusNormal"/>
        <w:spacing w:before="220"/>
        <w:jc w:val="both"/>
      </w:pPr>
    </w:p>
    <w:p w:rsidR="000A61A8" w:rsidRDefault="000A61A8" w:rsidP="0082607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76C4">
        <w:rPr>
          <w:rFonts w:ascii="Times New Roman" w:hAnsi="Times New Roman"/>
          <w:b/>
          <w:sz w:val="24"/>
          <w:szCs w:val="24"/>
        </w:rPr>
        <w:lastRenderedPageBreak/>
        <w:t>ВАЖНО!</w:t>
      </w:r>
      <w:r w:rsidRPr="00DB76C4">
        <w:rPr>
          <w:rFonts w:ascii="Times New Roman" w:hAnsi="Times New Roman"/>
          <w:sz w:val="24"/>
          <w:szCs w:val="24"/>
        </w:rPr>
        <w:t xml:space="preserve"> Во исполнении указа Президента Российской Федерации от 07.05.2012 г. № 601 «Об основных направлениях совершенствования системы государственного управления», с целью получения государственных услуг, оказываемых Фондом социального страхования РФ, в </w:t>
      </w:r>
      <w:proofErr w:type="spellStart"/>
      <w:r w:rsidRPr="00DB76C4">
        <w:rPr>
          <w:rFonts w:ascii="Times New Roman" w:hAnsi="Times New Roman"/>
          <w:sz w:val="24"/>
          <w:szCs w:val="24"/>
        </w:rPr>
        <w:t>т.ч</w:t>
      </w:r>
      <w:proofErr w:type="spellEnd"/>
      <w:r w:rsidRPr="00DB76C4">
        <w:rPr>
          <w:rFonts w:ascii="Times New Roman" w:hAnsi="Times New Roman"/>
          <w:sz w:val="24"/>
          <w:szCs w:val="24"/>
        </w:rPr>
        <w:t>. по принятию решения о финансовом обеспечении предупредительных мер, </w:t>
      </w:r>
      <w:r w:rsidRPr="00DB76C4">
        <w:rPr>
          <w:rFonts w:ascii="Times New Roman" w:hAnsi="Times New Roman"/>
          <w:b/>
          <w:sz w:val="24"/>
          <w:szCs w:val="24"/>
        </w:rPr>
        <w:t>убедительно рекомендуем руководителям организаций (индивидуальным предпринимателям) любых форм собственности пройти регистрацию на Портале государственных услуг (ПГУ)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A61A8" w:rsidRPr="00C812FA" w:rsidRDefault="000A61A8" w:rsidP="000A61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b/>
          <w:sz w:val="24"/>
          <w:szCs w:val="24"/>
        </w:rPr>
        <w:t>Страхователь обращается с заявлением</w:t>
      </w:r>
      <w:r w:rsidRPr="00C812FA">
        <w:rPr>
          <w:rFonts w:ascii="Times New Roman" w:hAnsi="Times New Roman"/>
          <w:sz w:val="24"/>
          <w:szCs w:val="24"/>
        </w:rPr>
        <w:t> о финансовом обеспечении предупредительных мер (далее - заявление) в территориальный орган Фонда по месту своей регистрации в срок </w:t>
      </w:r>
      <w:r w:rsidRPr="00C812FA">
        <w:rPr>
          <w:rFonts w:ascii="Times New Roman" w:hAnsi="Times New Roman"/>
          <w:b/>
          <w:sz w:val="24"/>
          <w:szCs w:val="24"/>
        </w:rPr>
        <w:t>до 1 августа</w:t>
      </w:r>
      <w:r w:rsidRPr="00C812FA">
        <w:rPr>
          <w:rFonts w:ascii="Times New Roman" w:hAnsi="Times New Roman"/>
          <w:sz w:val="24"/>
          <w:szCs w:val="24"/>
        </w:rPr>
        <w:t> текущего календарного года. Заявление представляется страхователем либо лицом, представляющим его интересы, на бумажном носителе либо </w:t>
      </w:r>
      <w:r w:rsidRPr="00C812FA">
        <w:rPr>
          <w:rFonts w:ascii="Times New Roman" w:hAnsi="Times New Roman"/>
          <w:i/>
          <w:sz w:val="24"/>
          <w:szCs w:val="24"/>
        </w:rPr>
        <w:t>в форме электронного документа</w:t>
      </w:r>
      <w:r w:rsidRPr="00C812FA">
        <w:rPr>
          <w:rFonts w:ascii="Times New Roman" w:hAnsi="Times New Roman"/>
          <w:sz w:val="24"/>
          <w:szCs w:val="24"/>
        </w:rPr>
        <w:t xml:space="preserve">.  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sz w:val="24"/>
          <w:szCs w:val="24"/>
        </w:rPr>
        <w:t>В случае направления заявления о финансовом обеспечении предупредительных мер через ЕПГУ, оно подлежит рассмотрению только после представления заявителем полного комплекта документов (заверенных копий) на бумажном носителе лично или по почте.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2FA">
        <w:rPr>
          <w:rFonts w:ascii="Times New Roman" w:hAnsi="Times New Roman"/>
          <w:sz w:val="24"/>
          <w:szCs w:val="24"/>
        </w:rPr>
        <w:t>Для получения государственной услуги заявителям представляется возможность представить заявление или заявление и документы (копии документов) 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путем заполнения специальной интерактивной формы (с предоставлением возможности автоматической идентификации (нумерации) обращений; использования "личного кабинета" для обеспечения однозначной и конфиденциальной доставки промежуточных сообщений и ответа заявителю в электронном виде).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sz w:val="24"/>
          <w:szCs w:val="24"/>
        </w:rPr>
        <w:t>При направлении заявления в форме электронного документа может использоваться простая электронная подпись в соответствии с Федеральным </w:t>
      </w:r>
      <w:hyperlink r:id="rId7" w:history="1">
        <w:r w:rsidRPr="00C812FA">
          <w:rPr>
            <w:rStyle w:val="ae"/>
            <w:rFonts w:ascii="Times New Roman" w:hAnsi="Times New Roman"/>
            <w:sz w:val="24"/>
            <w:szCs w:val="24"/>
          </w:rPr>
          <w:t>законом</w:t>
        </w:r>
      </w:hyperlink>
      <w:r w:rsidRPr="00C812FA">
        <w:rPr>
          <w:rFonts w:ascii="Times New Roman" w:hAnsi="Times New Roman"/>
          <w:sz w:val="24"/>
          <w:szCs w:val="24"/>
        </w:rPr>
        <w:t> от 6 апреля 2011 г. N 63-ФЗ "Об электронной подписи" при условии представления остальных документов на бумажном носителе.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sz w:val="24"/>
          <w:szCs w:val="24"/>
        </w:rPr>
        <w:t>При представлении заявления с приложением копий документов в форме электронного документа, используется только усиленная квалифицированная электронная подпись заявителя. При этом представление заявления и копий документов на бумажном носителе не требуется.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sz w:val="24"/>
          <w:szCs w:val="24"/>
        </w:rPr>
        <w:t>В случае, если обращается представитель заявителя, то представляются также документы, удостоверяющие личность и полномочия представителя.</w:t>
      </w:r>
    </w:p>
    <w:p w:rsidR="000A61A8" w:rsidRPr="00C812FA" w:rsidRDefault="000A61A8" w:rsidP="000A61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b/>
          <w:sz w:val="24"/>
          <w:szCs w:val="24"/>
        </w:rPr>
        <w:t>С заявлением представляются</w:t>
      </w:r>
      <w:r w:rsidRPr="00C812FA">
        <w:rPr>
          <w:rFonts w:ascii="Times New Roman" w:hAnsi="Times New Roman"/>
          <w:sz w:val="24"/>
          <w:szCs w:val="24"/>
        </w:rPr>
        <w:t> (лично или по почте):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2FA">
        <w:rPr>
          <w:rFonts w:ascii="Times New Roman" w:hAnsi="Times New Roman"/>
          <w:b/>
          <w:sz w:val="24"/>
          <w:szCs w:val="24"/>
        </w:rPr>
        <w:t>план финансового обеспечения</w:t>
      </w:r>
      <w:r w:rsidRPr="00C812FA">
        <w:rPr>
          <w:rFonts w:ascii="Times New Roman" w:hAnsi="Times New Roman"/>
          <w:sz w:val="24"/>
          <w:szCs w:val="24"/>
        </w:rPr>
        <w:t> предупредительных мер в текущем календарном году, форма которого предусмотрена приложением к Правилам,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2FA">
        <w:rPr>
          <w:rFonts w:ascii="Times New Roman" w:hAnsi="Times New Roman"/>
          <w:b/>
          <w:sz w:val="24"/>
          <w:szCs w:val="24"/>
        </w:rPr>
        <w:t>копия перечня мероприятий</w:t>
      </w:r>
      <w:r w:rsidRPr="00C812FA">
        <w:rPr>
          <w:rFonts w:ascii="Times New Roman" w:hAnsi="Times New Roman"/>
          <w:sz w:val="24"/>
          <w:szCs w:val="24"/>
        </w:rPr>
        <w:t> 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 w:rsidRPr="00C812FA">
        <w:rPr>
          <w:rFonts w:ascii="Times New Roman" w:hAnsi="Times New Roman"/>
          <w:b/>
          <w:sz w:val="24"/>
          <w:szCs w:val="24"/>
        </w:rPr>
        <w:t>документы (копии документов) в соответствии с п.6 Правил</w:t>
      </w:r>
      <w:r w:rsidRPr="00C812FA">
        <w:rPr>
          <w:rFonts w:ascii="Times New Roman" w:hAnsi="Times New Roman"/>
          <w:sz w:val="24"/>
          <w:szCs w:val="24"/>
        </w:rPr>
        <w:t> финансового обеспечения предупредительных мер, обосновывающие необходимость финансового обеспечения предупредительных мер.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b/>
          <w:i/>
          <w:sz w:val="24"/>
          <w:szCs w:val="24"/>
        </w:rPr>
        <w:lastRenderedPageBreak/>
        <w:t>Копии документов, представляемых страхователем в соответствии с пунктом 6 Правил, должны быть заверены печатью страхователя</w:t>
      </w:r>
      <w:r w:rsidRPr="00C812FA">
        <w:rPr>
          <w:rFonts w:ascii="Times New Roman" w:hAnsi="Times New Roman"/>
          <w:sz w:val="24"/>
          <w:szCs w:val="24"/>
        </w:rPr>
        <w:t>.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sz w:val="24"/>
          <w:szCs w:val="24"/>
        </w:rPr>
        <w:t>Территориальный орган Фонда принимает </w:t>
      </w:r>
      <w:r w:rsidRPr="00C812FA">
        <w:rPr>
          <w:rFonts w:ascii="Times New Roman" w:hAnsi="Times New Roman"/>
          <w:b/>
          <w:sz w:val="24"/>
          <w:szCs w:val="24"/>
        </w:rPr>
        <w:t>решение об отказе</w:t>
      </w:r>
      <w:r w:rsidRPr="00C812FA">
        <w:rPr>
          <w:rFonts w:ascii="Times New Roman" w:hAnsi="Times New Roman"/>
          <w:sz w:val="24"/>
          <w:szCs w:val="24"/>
        </w:rPr>
        <w:t> в финансовом обеспечении предупредительных мер </w:t>
      </w:r>
      <w:r w:rsidRPr="00C812FA">
        <w:rPr>
          <w:rFonts w:ascii="Times New Roman" w:hAnsi="Times New Roman"/>
          <w:b/>
          <w:sz w:val="24"/>
          <w:szCs w:val="24"/>
        </w:rPr>
        <w:t>в следующих случаях</w:t>
      </w:r>
      <w:r w:rsidRPr="00C812FA">
        <w:rPr>
          <w:rFonts w:ascii="Times New Roman" w:hAnsi="Times New Roman"/>
          <w:sz w:val="24"/>
          <w:szCs w:val="24"/>
        </w:rPr>
        <w:t>: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b/>
          <w:sz w:val="24"/>
          <w:szCs w:val="24"/>
        </w:rPr>
        <w:t>а)</w:t>
      </w:r>
      <w:r w:rsidRPr="00C812FA">
        <w:rPr>
          <w:rFonts w:ascii="Times New Roman" w:hAnsi="Times New Roman"/>
          <w:sz w:val="24"/>
          <w:szCs w:val="24"/>
        </w:rPr>
        <w:t> если на день подачи заявления у страхователя имеются непогашенные недоимка, задолженность по пеням и штрафам, образовавшиеся по итогам отчетного периода в текущем 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проверки; 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b/>
          <w:sz w:val="24"/>
          <w:szCs w:val="24"/>
        </w:rPr>
        <w:t>б)</w:t>
      </w:r>
      <w:r w:rsidRPr="00C812FA">
        <w:rPr>
          <w:rFonts w:ascii="Times New Roman" w:hAnsi="Times New Roman"/>
          <w:sz w:val="24"/>
          <w:szCs w:val="24"/>
        </w:rPr>
        <w:t> представленные документы содержат недостоверную информацию;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b/>
          <w:sz w:val="24"/>
          <w:szCs w:val="24"/>
        </w:rPr>
        <w:t>в)</w:t>
      </w:r>
      <w:r w:rsidRPr="00C812FA">
        <w:rPr>
          <w:rFonts w:ascii="Times New Roman" w:hAnsi="Times New Roman"/>
          <w:sz w:val="24"/>
          <w:szCs w:val="24"/>
        </w:rPr>
        <w:t> 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b/>
          <w:sz w:val="24"/>
          <w:szCs w:val="24"/>
        </w:rPr>
        <w:t>г)</w:t>
      </w:r>
      <w:r w:rsidRPr="00C812FA">
        <w:rPr>
          <w:rFonts w:ascii="Times New Roman" w:hAnsi="Times New Roman"/>
          <w:sz w:val="24"/>
          <w:szCs w:val="24"/>
        </w:rPr>
        <w:t> при представлении страхователем неполного комплекта документов.</w:t>
      </w:r>
    </w:p>
    <w:p w:rsidR="000A61A8" w:rsidRPr="00C812FA" w:rsidRDefault="000A61A8" w:rsidP="008260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b/>
          <w:sz w:val="24"/>
          <w:szCs w:val="24"/>
        </w:rPr>
        <w:t>В случае неполного использования указанных средств сообщает</w:t>
      </w:r>
      <w:r w:rsidRPr="00C812FA">
        <w:rPr>
          <w:rFonts w:ascii="Times New Roman" w:hAnsi="Times New Roman"/>
          <w:sz w:val="24"/>
          <w:szCs w:val="24"/>
        </w:rPr>
        <w:t> об этом в территориальный орган Фонда по месту своей регистрации </w:t>
      </w:r>
      <w:r w:rsidRPr="00C812FA">
        <w:rPr>
          <w:rFonts w:ascii="Times New Roman" w:hAnsi="Times New Roman"/>
          <w:b/>
          <w:sz w:val="24"/>
          <w:szCs w:val="24"/>
        </w:rPr>
        <w:t>до 10 октября текущего года</w:t>
      </w:r>
      <w:r w:rsidRPr="00C812FA">
        <w:rPr>
          <w:rFonts w:ascii="Times New Roman" w:hAnsi="Times New Roman"/>
          <w:sz w:val="24"/>
          <w:szCs w:val="24"/>
        </w:rPr>
        <w:t>.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sz w:val="24"/>
          <w:szCs w:val="24"/>
        </w:rPr>
        <w:t>Согласно Положения об особенностях возмещения расходов страхователя в 202</w:t>
      </w:r>
      <w:r>
        <w:rPr>
          <w:rFonts w:ascii="Times New Roman" w:hAnsi="Times New Roman"/>
          <w:sz w:val="24"/>
          <w:szCs w:val="24"/>
        </w:rPr>
        <w:t>2</w:t>
      </w:r>
      <w:r w:rsidRPr="00C812FA">
        <w:rPr>
          <w:rFonts w:ascii="Times New Roman" w:hAnsi="Times New Roman"/>
          <w:sz w:val="24"/>
          <w:szCs w:val="24"/>
        </w:rPr>
        <w:t xml:space="preserve"> году на предупредительные меры по сокращению производственного травматизма и профессиональных заболеваний работников, утвержденного вышеуказанным Постановлением: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sz w:val="24"/>
          <w:szCs w:val="24"/>
        </w:rPr>
        <w:t xml:space="preserve">· Оплата предупредительных мер осуществляется страхователем за счет собственных средств с последующим возмещением </w:t>
      </w:r>
      <w:r w:rsidRPr="00672DE0">
        <w:rPr>
          <w:rFonts w:ascii="Times New Roman" w:hAnsi="Times New Roman"/>
          <w:i/>
          <w:sz w:val="24"/>
          <w:szCs w:val="24"/>
          <w:u w:val="single"/>
        </w:rPr>
        <w:t>за счет средств бюджета Фонда произведенных страхователем расходов</w:t>
      </w:r>
      <w:r w:rsidRPr="00C812FA">
        <w:rPr>
          <w:rFonts w:ascii="Times New Roman" w:hAnsi="Times New Roman"/>
          <w:sz w:val="24"/>
          <w:szCs w:val="24"/>
        </w:rPr>
        <w:t> в пределах суммы, согласованной с территориальным органом Фонда на эти цели.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sz w:val="24"/>
          <w:szCs w:val="24"/>
        </w:rPr>
        <w:t>· </w:t>
      </w:r>
      <w:r w:rsidRPr="00672DE0">
        <w:rPr>
          <w:rFonts w:ascii="Times New Roman" w:hAnsi="Times New Roman"/>
          <w:i/>
          <w:sz w:val="24"/>
          <w:szCs w:val="24"/>
          <w:u w:val="single"/>
        </w:rPr>
        <w:t>Страхователь обращается</w:t>
      </w:r>
      <w:r w:rsidRPr="00C812FA">
        <w:rPr>
          <w:rFonts w:ascii="Times New Roman" w:hAnsi="Times New Roman"/>
          <w:sz w:val="24"/>
          <w:szCs w:val="24"/>
        </w:rPr>
        <w:t> в территориальный орган Фонда по месту регистрации </w:t>
      </w:r>
      <w:r w:rsidRPr="00672DE0">
        <w:rPr>
          <w:rFonts w:ascii="Times New Roman" w:hAnsi="Times New Roman"/>
          <w:i/>
          <w:sz w:val="24"/>
          <w:szCs w:val="24"/>
          <w:u w:val="single"/>
        </w:rPr>
        <w:t>с заявлением о возмещении произведенных расходов на оплату предупредительных мер с представлением документов, подтверждающих произведенные расходы, не позднее 15 декабря соответствующего года по установленной Форме</w:t>
      </w:r>
      <w:r w:rsidRPr="00C812FA">
        <w:rPr>
          <w:rFonts w:ascii="Times New Roman" w:hAnsi="Times New Roman"/>
          <w:sz w:val="24"/>
          <w:szCs w:val="24"/>
        </w:rPr>
        <w:t>.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sz w:val="24"/>
          <w:szCs w:val="24"/>
        </w:rPr>
        <w:t>· </w:t>
      </w:r>
      <w:r w:rsidRPr="00672DE0">
        <w:rPr>
          <w:rFonts w:ascii="Times New Roman" w:hAnsi="Times New Roman"/>
          <w:i/>
          <w:sz w:val="24"/>
          <w:szCs w:val="24"/>
          <w:u w:val="single"/>
        </w:rPr>
        <w:t>Территориальный орган Фонда в течение 5 рабочих дней</w:t>
      </w:r>
      <w:r w:rsidRPr="00C812FA">
        <w:rPr>
          <w:rFonts w:ascii="Times New Roman" w:hAnsi="Times New Roman"/>
          <w:sz w:val="24"/>
          <w:szCs w:val="24"/>
        </w:rPr>
        <w:t> 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 </w:t>
      </w:r>
      <w:r w:rsidRPr="00672DE0">
        <w:rPr>
          <w:rFonts w:ascii="Times New Roman" w:hAnsi="Times New Roman"/>
          <w:i/>
          <w:sz w:val="24"/>
          <w:szCs w:val="24"/>
          <w:u w:val="single"/>
        </w:rPr>
        <w:t>принимает решение о возмещении</w:t>
      </w:r>
      <w:r w:rsidRPr="00C812FA">
        <w:rPr>
          <w:rFonts w:ascii="Times New Roman" w:hAnsi="Times New Roman"/>
          <w:sz w:val="24"/>
          <w:szCs w:val="24"/>
        </w:rPr>
        <w:t> за счет средств бюджета Фонда расходов и производит перечисление средств </w:t>
      </w:r>
      <w:r w:rsidRPr="00672DE0">
        <w:rPr>
          <w:rFonts w:ascii="Times New Roman" w:hAnsi="Times New Roman"/>
          <w:i/>
          <w:sz w:val="24"/>
          <w:szCs w:val="24"/>
          <w:u w:val="single"/>
        </w:rPr>
        <w:t>на расчетный счет страхователя</w:t>
      </w:r>
      <w:r w:rsidRPr="00C812FA">
        <w:rPr>
          <w:rFonts w:ascii="Times New Roman" w:hAnsi="Times New Roman"/>
          <w:sz w:val="24"/>
          <w:szCs w:val="24"/>
        </w:rPr>
        <w:t>, указанный в этом заявлении.</w:t>
      </w:r>
    </w:p>
    <w:p w:rsidR="000A61A8" w:rsidRPr="00C812FA" w:rsidRDefault="000A61A8" w:rsidP="000A61A8">
      <w:pPr>
        <w:jc w:val="both"/>
        <w:rPr>
          <w:rFonts w:ascii="Times New Roman" w:hAnsi="Times New Roman"/>
          <w:sz w:val="24"/>
          <w:szCs w:val="24"/>
        </w:rPr>
      </w:pPr>
      <w:r w:rsidRPr="00C812FA">
        <w:rPr>
          <w:rFonts w:ascii="Times New Roman" w:hAnsi="Times New Roman"/>
          <w:sz w:val="24"/>
          <w:szCs w:val="24"/>
        </w:rPr>
        <w:t>· </w:t>
      </w:r>
      <w:r w:rsidRPr="00363215">
        <w:rPr>
          <w:rFonts w:ascii="Times New Roman" w:hAnsi="Times New Roman"/>
          <w:b/>
          <w:sz w:val="24"/>
          <w:szCs w:val="24"/>
        </w:rPr>
        <w:t>Расходы</w:t>
      </w:r>
      <w:r w:rsidRPr="00C812FA">
        <w:rPr>
          <w:rFonts w:ascii="Times New Roman" w:hAnsi="Times New Roman"/>
          <w:sz w:val="24"/>
          <w:szCs w:val="24"/>
        </w:rPr>
        <w:t xml:space="preserve">, фактически произведенные страхователем, но </w:t>
      </w:r>
      <w:r w:rsidRPr="00363215">
        <w:rPr>
          <w:rFonts w:ascii="Times New Roman" w:hAnsi="Times New Roman"/>
          <w:b/>
          <w:sz w:val="24"/>
          <w:szCs w:val="24"/>
        </w:rPr>
        <w:t>не подтвержденные</w:t>
      </w:r>
      <w:r w:rsidRPr="00C812FA">
        <w:rPr>
          <w:rFonts w:ascii="Times New Roman" w:hAnsi="Times New Roman"/>
          <w:sz w:val="24"/>
          <w:szCs w:val="24"/>
        </w:rPr>
        <w:t xml:space="preserve"> документами о целевом использовании средств, </w:t>
      </w:r>
      <w:r w:rsidRPr="00363215">
        <w:rPr>
          <w:rFonts w:ascii="Times New Roman" w:hAnsi="Times New Roman"/>
          <w:b/>
          <w:sz w:val="24"/>
          <w:szCs w:val="24"/>
        </w:rPr>
        <w:t>не подлежат возмещению</w:t>
      </w:r>
      <w:r w:rsidRPr="00C812FA">
        <w:rPr>
          <w:rFonts w:ascii="Times New Roman" w:hAnsi="Times New Roman"/>
          <w:sz w:val="24"/>
          <w:szCs w:val="24"/>
        </w:rPr>
        <w:t>.</w:t>
      </w:r>
    </w:p>
    <w:p w:rsidR="000A61A8" w:rsidRPr="009727D5" w:rsidRDefault="000A61A8" w:rsidP="0043009D">
      <w:pPr>
        <w:spacing w:after="0" w:line="300" w:lineRule="exact"/>
        <w:ind w:left="-425"/>
        <w:jc w:val="both"/>
        <w:rPr>
          <w:rFonts w:ascii="Times New Roman" w:hAnsi="Times New Roman"/>
          <w:sz w:val="28"/>
          <w:szCs w:val="28"/>
        </w:rPr>
      </w:pPr>
    </w:p>
    <w:sectPr w:rsidR="000A61A8" w:rsidRPr="009727D5" w:rsidSect="003606D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320BB"/>
    <w:multiLevelType w:val="multilevel"/>
    <w:tmpl w:val="AA8C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55E88"/>
    <w:multiLevelType w:val="multilevel"/>
    <w:tmpl w:val="A7E8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238B2"/>
    <w:multiLevelType w:val="multilevel"/>
    <w:tmpl w:val="8DF8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C08D5"/>
    <w:multiLevelType w:val="multilevel"/>
    <w:tmpl w:val="102E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0366D"/>
    <w:multiLevelType w:val="hybridMultilevel"/>
    <w:tmpl w:val="0CAEB4C2"/>
    <w:lvl w:ilvl="0" w:tplc="69904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A4E2B"/>
    <w:multiLevelType w:val="multilevel"/>
    <w:tmpl w:val="203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E5"/>
    <w:rsid w:val="00011710"/>
    <w:rsid w:val="00016DA4"/>
    <w:rsid w:val="000220F8"/>
    <w:rsid w:val="00055FCD"/>
    <w:rsid w:val="000736A1"/>
    <w:rsid w:val="00083455"/>
    <w:rsid w:val="000A61A8"/>
    <w:rsid w:val="000C20DD"/>
    <w:rsid w:val="000D1368"/>
    <w:rsid w:val="000E68BF"/>
    <w:rsid w:val="000F094D"/>
    <w:rsid w:val="00113AEE"/>
    <w:rsid w:val="00123F1E"/>
    <w:rsid w:val="001507E9"/>
    <w:rsid w:val="001510F5"/>
    <w:rsid w:val="001515CC"/>
    <w:rsid w:val="001B4DEC"/>
    <w:rsid w:val="001D2EDF"/>
    <w:rsid w:val="002167CB"/>
    <w:rsid w:val="00245614"/>
    <w:rsid w:val="00276956"/>
    <w:rsid w:val="003041F1"/>
    <w:rsid w:val="00322626"/>
    <w:rsid w:val="00330196"/>
    <w:rsid w:val="003606D4"/>
    <w:rsid w:val="00363215"/>
    <w:rsid w:val="003927F4"/>
    <w:rsid w:val="003A5C78"/>
    <w:rsid w:val="003B3634"/>
    <w:rsid w:val="003C355C"/>
    <w:rsid w:val="003C7277"/>
    <w:rsid w:val="0043009D"/>
    <w:rsid w:val="0046340B"/>
    <w:rsid w:val="004A50AF"/>
    <w:rsid w:val="004A5252"/>
    <w:rsid w:val="004E4B10"/>
    <w:rsid w:val="004E520B"/>
    <w:rsid w:val="00531B7B"/>
    <w:rsid w:val="00553B32"/>
    <w:rsid w:val="005639C6"/>
    <w:rsid w:val="005B477E"/>
    <w:rsid w:val="005E77D4"/>
    <w:rsid w:val="006722F8"/>
    <w:rsid w:val="00672DE0"/>
    <w:rsid w:val="0067453B"/>
    <w:rsid w:val="00686A29"/>
    <w:rsid w:val="006A0F96"/>
    <w:rsid w:val="006C2464"/>
    <w:rsid w:val="006F1E10"/>
    <w:rsid w:val="00795EF7"/>
    <w:rsid w:val="00826075"/>
    <w:rsid w:val="00847F73"/>
    <w:rsid w:val="00851688"/>
    <w:rsid w:val="00857D44"/>
    <w:rsid w:val="008B5024"/>
    <w:rsid w:val="008D280B"/>
    <w:rsid w:val="00901E20"/>
    <w:rsid w:val="00950781"/>
    <w:rsid w:val="009673C0"/>
    <w:rsid w:val="009727D5"/>
    <w:rsid w:val="00AA5D94"/>
    <w:rsid w:val="00AE5F97"/>
    <w:rsid w:val="00B0380B"/>
    <w:rsid w:val="00B212E5"/>
    <w:rsid w:val="00B27094"/>
    <w:rsid w:val="00B323AF"/>
    <w:rsid w:val="00B45B3F"/>
    <w:rsid w:val="00B67EC2"/>
    <w:rsid w:val="00BE7F65"/>
    <w:rsid w:val="00C025C6"/>
    <w:rsid w:val="00C60FF8"/>
    <w:rsid w:val="00C812FA"/>
    <w:rsid w:val="00C83B00"/>
    <w:rsid w:val="00C96B4D"/>
    <w:rsid w:val="00CC6274"/>
    <w:rsid w:val="00CD1F02"/>
    <w:rsid w:val="00CF2B9A"/>
    <w:rsid w:val="00D10EAF"/>
    <w:rsid w:val="00D32A53"/>
    <w:rsid w:val="00D57402"/>
    <w:rsid w:val="00D601C4"/>
    <w:rsid w:val="00D72C1A"/>
    <w:rsid w:val="00DB76C4"/>
    <w:rsid w:val="00DF4452"/>
    <w:rsid w:val="00E13198"/>
    <w:rsid w:val="00E268AA"/>
    <w:rsid w:val="00E52176"/>
    <w:rsid w:val="00E61958"/>
    <w:rsid w:val="00E7538B"/>
    <w:rsid w:val="00EC5676"/>
    <w:rsid w:val="00EF7093"/>
    <w:rsid w:val="00F50A40"/>
    <w:rsid w:val="00F51547"/>
    <w:rsid w:val="00F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5F9BC-6C58-BA4C-BF9C-263B901E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31B7B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B3634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0D13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13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D13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136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D1368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167CB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02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025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1B7B"/>
    <w:rPr>
      <w:rFonts w:ascii="Times New Roman" w:eastAsia="Times New Roman" w:hAnsi="Times New Roman"/>
      <w:b/>
      <w:bCs/>
      <w:sz w:val="36"/>
      <w:szCs w:val="36"/>
    </w:rPr>
  </w:style>
  <w:style w:type="character" w:styleId="ae">
    <w:name w:val="Hyperlink"/>
    <w:basedOn w:val="a0"/>
    <w:uiPriority w:val="99"/>
    <w:unhideWhenUsed/>
    <w:rsid w:val="00531B7B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672DE0"/>
    <w:rPr>
      <w:color w:val="954F72" w:themeColor="followedHyperlink"/>
      <w:u w:val="single"/>
    </w:rPr>
  </w:style>
  <w:style w:type="paragraph" w:customStyle="1" w:styleId="ConsPlusNormal">
    <w:name w:val="ConsPlusNormal"/>
    <w:rsid w:val="000A61A8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DC906CFEF30E8416C6B67CCFB5B4E215161EE6F0BA9C11B026EEA226JCe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264EFB422007A3FFEC64B31911D3E7CDA95F235E50A511B74E8E80301FC4E3A6C5A12C432D1A161042B126EZ5B7G" TargetMode="External"/><Relationship Id="rId5" Type="http://schemas.openxmlformats.org/officeDocument/2006/relationships/hyperlink" Target="consultantplus://offline/ref=DF5264EFB422007A3FFEC64B31911D3E79DE96F134E80A511B74E8E80301FC4E286C021EC531CFA168117D4328017B56750AF5CAC0063FFAZ9B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cp:lastModifiedBy>Аксёнова Анжелика Павловна</cp:lastModifiedBy>
  <cp:revision>2</cp:revision>
  <cp:lastPrinted>2023-01-16T07:28:00Z</cp:lastPrinted>
  <dcterms:created xsi:type="dcterms:W3CDTF">2023-01-17T08:50:00Z</dcterms:created>
  <dcterms:modified xsi:type="dcterms:W3CDTF">2023-01-17T08:50:00Z</dcterms:modified>
</cp:coreProperties>
</file>