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14.07.2021 N 467н</w:t>
              <w:br/>
              <w:t xml:space="preserve">(ред. от 27.02.2023)</w:t>
              <w:b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br/>
              <w:t xml:space="preserve">(Зарегистрировано в Минюсте России 08.09.2021 N 64932)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сентября 2021 г. N 64932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2021 г. N 467н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1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w:history="0" r:id="rId12"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риказ Минтруда России от 10.12.2012 N 580н (ред. от 23.06.2020)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 (с изм. и доп., вступ. в силу с 01.01.20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pPr>
        <w:pStyle w:val="0"/>
        <w:spacing w:before="200" w:line-rule="auto"/>
        <w:ind w:firstLine="540"/>
        <w:jc w:val="both"/>
      </w:pPr>
      <w:hyperlink w:history="0" r:id="rId14" w:tooltip="Приказ Минтруда России от 24.05.2013 N 22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2.07.2013 N 28964) ------------ Утратил силу или отменен {КонсультантПлюс}">
        <w:r>
          <w:rPr>
            <w:sz w:val="20"/>
            <w:color w:val="0000ff"/>
          </w:rPr>
          <w:t xml:space="preserve">приказ</w:t>
        </w:r>
      </w:hyperlink>
      <w:r>
        <w:rPr>
          <w:sz w:val="20"/>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pPr>
        <w:pStyle w:val="0"/>
        <w:spacing w:before="200" w:line-rule="auto"/>
        <w:ind w:firstLine="540"/>
        <w:jc w:val="both"/>
      </w:pPr>
      <w:hyperlink w:history="0" r:id="rId15" w:tooltip="Приказ Минтруда России от 20.02.2014 N 103н (ред. от 04.08.2020)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27</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6" w:tooltip="Приказ Минтруда России от 29.04.2016 N 201н &quot;О внесении изменений в приказ Министерства труда и социальной защиты Российской Федерации от 10 декабря 2012 г. N 580н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1.08.2016 N 430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pPr>
        <w:pStyle w:val="0"/>
        <w:spacing w:before="200" w:line-rule="auto"/>
        <w:ind w:firstLine="540"/>
        <w:jc w:val="both"/>
      </w:pPr>
      <w:hyperlink w:history="0" r:id="rId17" w:tooltip="Приказ Минтруда России от 14.07.2016 N 35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8.08.2016 N 431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pPr>
        <w:pStyle w:val="0"/>
        <w:spacing w:before="200" w:line-rule="auto"/>
        <w:ind w:firstLine="540"/>
        <w:jc w:val="both"/>
      </w:pPr>
      <w:hyperlink w:history="0" r:id="rId18" w:tooltip="Приказ Минтруда России от 31.10.2017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2.12.2017 N 4940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pPr>
        <w:pStyle w:val="0"/>
        <w:spacing w:before="200" w:line-rule="auto"/>
        <w:ind w:firstLine="540"/>
        <w:jc w:val="both"/>
      </w:pPr>
      <w:hyperlink w:history="0" r:id="rId19" w:tooltip="Приказ Минтруда России от 31.08.2018 N 57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1.09.2018 N 5221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pPr>
        <w:pStyle w:val="0"/>
        <w:spacing w:before="200" w:line-rule="auto"/>
        <w:ind w:firstLine="540"/>
        <w:jc w:val="both"/>
      </w:pPr>
      <w:hyperlink w:history="0" r:id="rId20" w:tooltip="Приказ Минтруда России от 03.12.2018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17.01.2019 N 5339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pPr>
        <w:pStyle w:val="0"/>
        <w:spacing w:before="200" w:line-rule="auto"/>
        <w:ind w:firstLine="540"/>
        <w:jc w:val="both"/>
      </w:pPr>
      <w:r>
        <w:rPr>
          <w:sz w:val="20"/>
        </w:rPr>
        <w:t xml:space="preserve">3. Утратил силу. - </w:t>
      </w:r>
      <w:hyperlink w:history="0" r:id="rId2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w:t>
        </w:r>
      </w:hyperlink>
      <w:r>
        <w:rPr>
          <w:sz w:val="20"/>
        </w:rPr>
        <w:t xml:space="preserve"> Минтруда России от 15.12.2022 N 782н.</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pStyle w:val="0"/>
        <w:jc w:val="right"/>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22"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2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24"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2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bookmarkStart w:id="56" w:name="P56"/>
    <w:bookmarkEnd w:id="56"/>
    <w:p>
      <w:pPr>
        <w:pStyle w:val="0"/>
        <w:spacing w:before="200" w:line-rule="auto"/>
        <w:ind w:firstLine="540"/>
        <w:jc w:val="both"/>
      </w:pPr>
      <w:r>
        <w:rPr>
          <w:sz w:val="20"/>
        </w:rPr>
        <w:t xml:space="preserve">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pPr>
        <w:pStyle w:val="0"/>
        <w:jc w:val="both"/>
      </w:pPr>
      <w:r>
        <w:rPr>
          <w:sz w:val="20"/>
        </w:rPr>
        <w:t xml:space="preserve">(в ред. </w:t>
      </w:r>
      <w:hyperlink w:history="0" r:id="rId26"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w:history="0" r:id="rId27"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w:history="0" r:id="rId28"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bookmarkStart w:id="60" w:name="P60"/>
    <w:bookmarkEnd w:id="60"/>
    <w:p>
      <w:pPr>
        <w:pStyle w:val="0"/>
        <w:spacing w:before="200" w:line-rule="auto"/>
        <w:ind w:firstLine="540"/>
        <w:jc w:val="both"/>
      </w:pPr>
      <w:r>
        <w:rPr>
          <w:sz w:val="20"/>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w:history="0" r:id="rId29"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w:history="0" r:id="rId30"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возраста</w:t>
        </w:r>
      </w:hyperlink>
      <w:r>
        <w:rPr>
          <w:sz w:val="20"/>
        </w:rPr>
        <w:t xml:space="preserve">, дающего право на назначение страховой пенсии по старости в соответствии с пенсионным законодательством.</w:t>
      </w:r>
    </w:p>
    <w:p>
      <w:pPr>
        <w:pStyle w:val="0"/>
        <w:spacing w:before="200" w:line-rule="auto"/>
        <w:ind w:firstLine="540"/>
        <w:jc w:val="both"/>
      </w:pPr>
      <w:r>
        <w:rPr>
          <w:sz w:val="20"/>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3. Финансовому обеспечению за счет сумм страховых взносов подлежат расходы страхователя на следующие предупредительные меры:</w:t>
      </w:r>
    </w:p>
    <w:bookmarkStart w:id="63" w:name="P63"/>
    <w:bookmarkEnd w:id="63"/>
    <w:p>
      <w:pPr>
        <w:pStyle w:val="0"/>
        <w:spacing w:before="200" w:line-rule="auto"/>
        <w:ind w:firstLine="540"/>
        <w:jc w:val="both"/>
      </w:pPr>
      <w:r>
        <w:rPr>
          <w:sz w:val="20"/>
        </w:rPr>
        <w:t xml:space="preserve">а) проведение специальной оценки условий труда;</w:t>
      </w:r>
    </w:p>
    <w:bookmarkStart w:id="64" w:name="P64"/>
    <w:bookmarkEnd w:id="64"/>
    <w:p>
      <w:pPr>
        <w:pStyle w:val="0"/>
        <w:spacing w:before="200" w:line-rule="auto"/>
        <w:ind w:firstLine="540"/>
        <w:jc w:val="both"/>
      </w:pPr>
      <w:r>
        <w:rPr>
          <w:sz w:val="20"/>
        </w:rPr>
        <w:t xml:space="preserve">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Start w:id="65" w:name="P65"/>
    <w:bookmarkEnd w:id="65"/>
    <w:p>
      <w:pPr>
        <w:pStyle w:val="0"/>
        <w:spacing w:before="200" w:line-rule="auto"/>
        <w:ind w:firstLine="540"/>
        <w:jc w:val="both"/>
      </w:pPr>
      <w:r>
        <w:rPr>
          <w:sz w:val="20"/>
        </w:rPr>
        <w:t xml:space="preserve">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1"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53</w:t>
        </w:r>
      </w:hyperlink>
      <w:r>
        <w:rPr>
          <w:sz w:val="20"/>
        </w:rPr>
        <w:t xml:space="preserve">, </w:t>
      </w:r>
      <w:hyperlink w:history="0" r:id="rId32"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pPr>
        <w:pStyle w:val="0"/>
        <w:ind w:firstLine="540"/>
        <w:jc w:val="both"/>
      </w:pPr>
      <w:r>
        <w:rPr>
          <w:sz w:val="20"/>
        </w:rPr>
      </w:r>
    </w:p>
    <w:p>
      <w:pPr>
        <w:pStyle w:val="0"/>
        <w:ind w:firstLine="540"/>
        <w:jc w:val="both"/>
      </w:pPr>
      <w:r>
        <w:rPr>
          <w:sz w:val="20"/>
        </w:rPr>
        <w:t xml:space="preserve">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pPr>
        <w:pStyle w:val="0"/>
        <w:spacing w:before="200" w:line-rule="auto"/>
        <w:ind w:firstLine="540"/>
        <w:jc w:val="both"/>
      </w:pPr>
      <w:r>
        <w:rPr>
          <w:sz w:val="20"/>
        </w:rPr>
        <w:t xml:space="preserve">руководители структурных подразделений организации и их заместители, руководители структурных подразделений филиала и их заместители;</w:t>
      </w:r>
    </w:p>
    <w:p>
      <w:pPr>
        <w:pStyle w:val="0"/>
        <w:spacing w:before="200" w:line-rule="auto"/>
        <w:ind w:firstLine="540"/>
        <w:jc w:val="both"/>
      </w:pPr>
      <w:r>
        <w:rPr>
          <w:sz w:val="20"/>
        </w:rPr>
        <w:t xml:space="preserve">работники организации, отнесенные к категории специалисты;</w:t>
      </w:r>
    </w:p>
    <w:p>
      <w:pPr>
        <w:pStyle w:val="0"/>
        <w:spacing w:before="200" w:line-rule="auto"/>
        <w:ind w:firstLine="540"/>
        <w:jc w:val="both"/>
      </w:pPr>
      <w:r>
        <w:rPr>
          <w:sz w:val="20"/>
        </w:rPr>
        <w:t xml:space="preserve">специалисты по охране труда;</w:t>
      </w:r>
    </w:p>
    <w:p>
      <w:pPr>
        <w:pStyle w:val="0"/>
        <w:spacing w:before="200" w:line-rule="auto"/>
        <w:ind w:firstLine="540"/>
        <w:jc w:val="both"/>
      </w:pPr>
      <w:r>
        <w:rPr>
          <w:sz w:val="20"/>
        </w:rPr>
        <w:t xml:space="preserve">работники рабочих профессий;</w:t>
      </w:r>
    </w:p>
    <w:p>
      <w:pPr>
        <w:pStyle w:val="0"/>
        <w:spacing w:before="200" w:line-rule="auto"/>
        <w:ind w:firstLine="540"/>
        <w:jc w:val="both"/>
      </w:pPr>
      <w:r>
        <w:rPr>
          <w:sz w:val="20"/>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pPr>
        <w:pStyle w:val="0"/>
        <w:spacing w:before="200" w:line-rule="auto"/>
        <w:ind w:firstLine="540"/>
        <w:jc w:val="both"/>
      </w:pPr>
      <w:r>
        <w:rPr>
          <w:sz w:val="20"/>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pPr>
        <w:pStyle w:val="0"/>
        <w:spacing w:before="200" w:line-rule="auto"/>
        <w:ind w:firstLine="540"/>
        <w:jc w:val="both"/>
      </w:pPr>
      <w:r>
        <w:rPr>
          <w:sz w:val="20"/>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jc w:val="both"/>
      </w:pPr>
      <w:r>
        <w:rPr>
          <w:sz w:val="20"/>
        </w:rPr>
        <w:t xml:space="preserve">(пп. "в" в ред. </w:t>
      </w:r>
      <w:hyperlink w:history="0" r:id="rId3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78" w:name="P78"/>
    <w:bookmarkEnd w:id="78"/>
    <w:p>
      <w:pPr>
        <w:pStyle w:val="0"/>
        <w:spacing w:before="200" w:line-rule="auto"/>
        <w:ind w:firstLine="540"/>
        <w:jc w:val="both"/>
      </w:pPr>
      <w:r>
        <w:rPr>
          <w:sz w:val="20"/>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r>
        <w:rPr>
          <w:sz w:val="20"/>
        </w:rPr>
        <w:t xml:space="preserve">нормами</w:t>
      </w:r>
      <w:r>
        <w:rPr>
          <w:sz w:val="20"/>
        </w:rPr>
        <w:t xml:space="preserve">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bookmarkStart w:id="79" w:name="P79"/>
    <w:bookmarkEnd w:id="79"/>
    <w:p>
      <w:pPr>
        <w:pStyle w:val="0"/>
        <w:spacing w:before="200" w:line-rule="auto"/>
        <w:ind w:firstLine="540"/>
        <w:jc w:val="both"/>
      </w:pPr>
      <w:r>
        <w:rPr>
          <w:sz w:val="20"/>
        </w:rPr>
        <w:t xml:space="preserve">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bookmarkStart w:id="80" w:name="P80"/>
    <w:bookmarkEnd w:id="80"/>
    <w:p>
      <w:pPr>
        <w:pStyle w:val="0"/>
        <w:spacing w:before="200" w:line-rule="auto"/>
        <w:ind w:firstLine="540"/>
        <w:jc w:val="both"/>
      </w:pPr>
      <w:r>
        <w:rPr>
          <w:sz w:val="20"/>
        </w:rPr>
        <w:t xml:space="preserve">е) проведение обязательных периодических медицинских осмотров (обследований) работников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4"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Части первая</w:t>
        </w:r>
      </w:hyperlink>
      <w:r>
        <w:rPr>
          <w:sz w:val="20"/>
        </w:rPr>
        <w:t xml:space="preserve"> и </w:t>
      </w:r>
      <w:hyperlink w:history="0" r:id="rId3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пятая статьи 220</w:t>
        </w:r>
      </w:hyperlink>
      <w:r>
        <w:rPr>
          <w:sz w:val="20"/>
        </w:rPr>
        <w:t xml:space="preserve"> Трудового кодекса Российской Федерации; </w:t>
      </w:r>
      <w:hyperlink w:history="0" r:id="rId36" w:tooltip="&quot;Воздушный кодекс Российской Федерации&quot; от 19.03.1997 N 60-ФЗ (ред. от 04.08.2023) {КонсультантПлюс}">
        <w:r>
          <w:rPr>
            <w:sz w:val="20"/>
            <w:color w:val="0000ff"/>
          </w:rPr>
          <w:t xml:space="preserve">подпункт 3.1 статьи 52</w:t>
        </w:r>
      </w:hyperlink>
      <w:r>
        <w:rPr>
          <w:sz w:val="20"/>
        </w:rPr>
        <w:t xml:space="preserve"> Воздушного кодекса Российской Федерации; </w:t>
      </w:r>
      <w:hyperlink w:history="0" r:id="rId37" w:tooltip="&quot;Кодекс торгового мореплавания Российской Федерации&quot; от 30.04.1999 N 81-ФЗ (ред. от 19.10.2023) {КонсультантПлюс}">
        <w:r>
          <w:rPr>
            <w:sz w:val="20"/>
            <w:color w:val="0000ff"/>
          </w:rPr>
          <w:t xml:space="preserve">статья 55</w:t>
        </w:r>
      </w:hyperlink>
      <w:r>
        <w:rPr>
          <w:sz w:val="20"/>
        </w:rPr>
        <w:t xml:space="preserve"> Кодекса торгового мореплавания Российской Федерации; </w:t>
      </w:r>
      <w:hyperlink w:history="0" r:id="rId38" w:tooltip="&quot;Кодекс внутреннего водного транспорта Российской Федерации&quot; от 07.03.2001 N 24-ФЗ (ред. от 19.10.2023) {КонсультантПлюс}">
        <w:r>
          <w:rPr>
            <w:sz w:val="20"/>
            <w:color w:val="0000ff"/>
          </w:rPr>
          <w:t xml:space="preserve">пункт 3.1 статьи 28</w:t>
        </w:r>
      </w:hyperlink>
      <w:r>
        <w:rPr>
          <w:sz w:val="20"/>
        </w:rPr>
        <w:t xml:space="preserve">, </w:t>
      </w:r>
      <w:hyperlink w:history="0" r:id="rId39" w:tooltip="&quot;Кодекс внутреннего водного транспорта Российской Федерации&quot; от 07.03.2001 N 24-ФЗ (ред. от 19.10.2023) {КонсультантПлюс}">
        <w:r>
          <w:rPr>
            <w:sz w:val="20"/>
            <w:color w:val="0000ff"/>
          </w:rPr>
          <w:t xml:space="preserve">абзац четвертый пункта 2 статьи 41</w:t>
        </w:r>
      </w:hyperlink>
      <w:r>
        <w:rPr>
          <w:sz w:val="20"/>
        </w:rPr>
        <w:t xml:space="preserve"> Кодекса внутреннего водного транспорта Российской Федерации; </w:t>
      </w:r>
      <w:hyperlink w:history="0" r:id="rId40" w:tooltip="Федеральный закон от 21.11.1995 N 170-ФЗ (ред. от 28.06.2022) &quot;Об использовании атомной энергии&quot; {КонсультантПлюс}">
        <w:r>
          <w:rPr>
            <w:sz w:val="20"/>
            <w:color w:val="0000ff"/>
          </w:rPr>
          <w:t xml:space="preserve">части четвертая</w:t>
        </w:r>
      </w:hyperlink>
      <w:r>
        <w:rPr>
          <w:sz w:val="20"/>
        </w:rPr>
        <w:t xml:space="preserve"> и </w:t>
      </w:r>
      <w:hyperlink w:history="0" r:id="rId41" w:tooltip="Федеральный закон от 21.11.1995 N 170-ФЗ (ред. от 28.06.2022) &quot;Об использовании атомной энергии&quot; {КонсультантПлюс}">
        <w:r>
          <w:rPr>
            <w:sz w:val="20"/>
            <w:color w:val="0000ff"/>
          </w:rPr>
          <w:t xml:space="preserve">пятая статьи 27</w:t>
        </w:r>
      </w:hyperlink>
      <w:r>
        <w:rPr>
          <w:sz w:val="20"/>
        </w:rPr>
        <w:t xml:space="preserve"> Федерального закона от 21 ноября 1995 г. N 170-ФЗ "Об использовании атомной энергии"; </w:t>
      </w:r>
      <w:hyperlink w:history="0" r:id="rId42" w:tooltip="Федеральный закон от 20.06.1996 N 81-ФЗ (ред. от 25.12.2023)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пункты 3</w:t>
        </w:r>
      </w:hyperlink>
      <w:r>
        <w:rPr>
          <w:sz w:val="20"/>
        </w:rPr>
        <w:t xml:space="preserve"> - </w:t>
      </w:r>
      <w:hyperlink w:history="0" r:id="rId43" w:tooltip="Федеральный закон от 20.06.1996 N 81-ФЗ (ред. от 25.12.2023)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5 статьи 19</w:t>
        </w:r>
      </w:hyperlink>
      <w:r>
        <w:rPr>
          <w:sz w:val="20"/>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w:history="0" r:id="rId44"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абзацы первый</w:t>
        </w:r>
      </w:hyperlink>
      <w:r>
        <w:rPr>
          <w:sz w:val="20"/>
        </w:rPr>
        <w:t xml:space="preserve"> и </w:t>
      </w:r>
      <w:hyperlink w:history="0" r:id="rId45"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пятый пункта 3 статьи 25</w:t>
        </w:r>
      </w:hyperlink>
      <w:r>
        <w:rPr>
          <w:sz w:val="20"/>
        </w:rPr>
        <w:t xml:space="preserve"> Федерального закона от 10 января 2003 г. N 17-ФЗ "О железнодорожном транспорте в Российской Федерации"; </w:t>
      </w:r>
      <w:hyperlink w:history="0" r:id="rId4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 3 статьи 28</w:t>
        </w:r>
      </w:hyperlink>
      <w:r>
        <w:rPr>
          <w:sz w:val="20"/>
        </w:rPr>
        <w:t xml:space="preserve"> Федерального закона от 26 марта 2003 г. N 35-ФЗ "Об электроэнергетике"; </w:t>
      </w:r>
      <w:hyperlink w:history="0" r:id="rId4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 вторая статьи 24</w:t>
        </w:r>
      </w:hyperlink>
      <w:r>
        <w:rPr>
          <w:sz w:val="20"/>
        </w:rPr>
        <w:t xml:space="preserve">, </w:t>
      </w:r>
      <w:hyperlink w:history="0" r:id="rId4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 3 части второй статьи 46</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t xml:space="preserve">(сноска в ред. </w:t>
      </w:r>
      <w:hyperlink w:history="0" r:id="rId4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bookmarkStart w:id="85" w:name="P85"/>
    <w:bookmarkEnd w:id="85"/>
    <w:p>
      <w:pPr>
        <w:pStyle w:val="0"/>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50"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перечнем</w:t>
        </w:r>
      </w:hyperlink>
      <w:r>
        <w:rPr>
          <w:sz w:val="20"/>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pPr>
        <w:pStyle w:val="0"/>
        <w:jc w:val="both"/>
      </w:pPr>
      <w:r>
        <w:rPr>
          <w:sz w:val="20"/>
        </w:rPr>
        <w:t xml:space="preserve">(пп. "ж" в ред. </w:t>
      </w:r>
      <w:hyperlink w:history="0" r:id="rId5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87" w:name="P87"/>
    <w:bookmarkEnd w:id="87"/>
    <w:p>
      <w:pPr>
        <w:pStyle w:val="0"/>
        <w:spacing w:before="200" w:line-rule="auto"/>
        <w:ind w:firstLine="540"/>
        <w:jc w:val="both"/>
      </w:pPr>
      <w:r>
        <w:rPr>
          <w:sz w:val="20"/>
        </w:rPr>
        <w:t xml:space="preserve">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w:history="0" r:id="rId53" w:tooltip="Решение Совета Евразийской экономической комиссии от 12.02.2016 N 46 (ред. от 30.03.2023) &quot;О Правилах регистрации и экспертизы безопасности, качества и эффективности медицинских изделий&quot;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w:t>
      </w:r>
      <w:r>
        <w:rPr>
          <w:sz w:val="20"/>
        </w:rPr>
        <w:t xml:space="preserve">http://www.eaeunion.org/</w:t>
      </w:r>
      <w:r>
        <w:rPr>
          <w:sz w:val="20"/>
        </w:rPr>
        <w:t xml:space="preserve">,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w:t>
      </w:r>
      <w:r>
        <w:rPr>
          <w:sz w:val="20"/>
        </w:rPr>
        <w:t xml:space="preserve">http://www.eaeunion.org/</w:t>
      </w:r>
      <w:r>
        <w:rPr>
          <w:sz w:val="20"/>
        </w:rPr>
        <w:t xml:space="preserve">, 19.01.2022), от 19 мая 2022 г. N 84 (официальный сайт Евразийского экономического союза </w:t>
      </w:r>
      <w:r>
        <w:rPr>
          <w:sz w:val="20"/>
        </w:rPr>
        <w:t xml:space="preserve">http://www.eaeunion.org/</w:t>
      </w:r>
      <w:r>
        <w:rPr>
          <w:sz w:val="20"/>
        </w:rPr>
        <w:t xml:space="preserve">, 09.06.2022). Является обязательным для Российской Федерации в соответствии с </w:t>
      </w:r>
      <w:hyperlink w:history="0" r:id="rId54"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55"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56"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57"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(в ред. </w:t>
      </w:r>
      <w:hyperlink w:history="0" r:id="rId5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bookmarkStart w:id="92" w:name="P92"/>
    <w:bookmarkEnd w:id="92"/>
    <w:p>
      <w:pPr>
        <w:pStyle w:val="0"/>
        <w:ind w:firstLine="540"/>
        <w:jc w:val="both"/>
      </w:pPr>
      <w:r>
        <w:rPr>
          <w:sz w:val="20"/>
        </w:rPr>
        <w:t xml:space="preserve">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bookmarkStart w:id="93" w:name="P93"/>
    <w:bookmarkEnd w:id="93"/>
    <w:p>
      <w:pPr>
        <w:pStyle w:val="0"/>
        <w:spacing w:before="200" w:line-rule="auto"/>
        <w:ind w:firstLine="540"/>
        <w:jc w:val="both"/>
      </w:pPr>
      <w:r>
        <w:rPr>
          <w:sz w:val="20"/>
        </w:rPr>
        <w:t xml:space="preserve">к) приобретение страхователями аптечек для оказания первой помощи;</w:t>
      </w:r>
    </w:p>
    <w:bookmarkStart w:id="94" w:name="P94"/>
    <w:bookmarkEnd w:id="94"/>
    <w:p>
      <w:pPr>
        <w:pStyle w:val="0"/>
        <w:spacing w:before="200" w:line-rule="auto"/>
        <w:ind w:firstLine="540"/>
        <w:jc w:val="both"/>
      </w:pPr>
      <w:r>
        <w:rPr>
          <w:sz w:val="20"/>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bookmarkStart w:id="95" w:name="P95"/>
    <w:bookmarkEnd w:id="95"/>
    <w:p>
      <w:pPr>
        <w:pStyle w:val="0"/>
        <w:spacing w:before="200" w:line-rule="auto"/>
        <w:ind w:firstLine="540"/>
        <w:jc w:val="both"/>
      </w:pPr>
      <w:r>
        <w:rPr>
          <w:sz w:val="20"/>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pPr>
        <w:pStyle w:val="0"/>
        <w:jc w:val="both"/>
      </w:pPr>
      <w:r>
        <w:rPr>
          <w:sz w:val="20"/>
        </w:rPr>
        <w:t xml:space="preserve">(в ред. </w:t>
      </w:r>
      <w:hyperlink w:history="0" r:id="rId5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97" w:name="P97"/>
    <w:bookmarkEnd w:id="97"/>
    <w:p>
      <w:pPr>
        <w:pStyle w:val="0"/>
        <w:spacing w:before="200" w:line-rule="auto"/>
        <w:ind w:firstLine="540"/>
        <w:jc w:val="both"/>
      </w:pPr>
      <w:r>
        <w:rPr>
          <w:sz w:val="20"/>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bookmarkStart w:id="98" w:name="P98"/>
    <w:bookmarkEnd w:id="98"/>
    <w:p>
      <w:pPr>
        <w:pStyle w:val="0"/>
        <w:spacing w:before="200" w:line-rule="auto"/>
        <w:ind w:firstLine="540"/>
        <w:jc w:val="both"/>
      </w:pPr>
      <w:r>
        <w:rPr>
          <w:sz w:val="20"/>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bookmarkStart w:id="99" w:name="P99"/>
    <w:bookmarkEnd w:id="99"/>
    <w:p>
      <w:pPr>
        <w:pStyle w:val="0"/>
        <w:spacing w:before="200" w:line-rule="auto"/>
        <w:ind w:firstLine="540"/>
        <w:jc w:val="both"/>
      </w:pPr>
      <w:r>
        <w:rPr>
          <w:sz w:val="20"/>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w:history="0" r:id="rId60" w:tooltip="Приказ Минтруда России от 23.06.2022 N 373 (ред. от 30.03.2023) &quot;Об утверждении перечня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расходы на приобретение которых в рамках модернизации основных производ {КонсультантПлюс}">
        <w:r>
          <w:rPr>
            <w:sz w:val="20"/>
            <w:color w:val="0000ff"/>
          </w:rPr>
          <w:t xml:space="preserve">перечнем</w:t>
        </w:r>
      </w:hyperlink>
      <w:r>
        <w:rPr>
          <w:sz w:val="20"/>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pPr>
        <w:pStyle w:val="0"/>
        <w:jc w:val="both"/>
      </w:pPr>
      <w:r>
        <w:rPr>
          <w:sz w:val="20"/>
        </w:rPr>
        <w:t xml:space="preserve">(пп. "п" введен </w:t>
      </w:r>
      <w:hyperlink w:history="0" r:id="rId61"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101" w:name="P101"/>
    <w:bookmarkEnd w:id="101"/>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w:history="0" r:id="rId62"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pPr>
        <w:pStyle w:val="0"/>
        <w:jc w:val="both"/>
      </w:pPr>
      <w:r>
        <w:rPr>
          <w:sz w:val="20"/>
        </w:rPr>
        <w:t xml:space="preserve">(пп. "р" в ред. </w:t>
      </w:r>
      <w:hyperlink w:history="0" r:id="rId6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3.1. Утратил силу. - </w:t>
      </w:r>
      <w:hyperlink w:history="0" r:id="rId6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bookmarkStart w:id="104" w:name="P104"/>
    <w:bookmarkEnd w:id="104"/>
    <w:p>
      <w:pPr>
        <w:pStyle w:val="0"/>
        <w:spacing w:before="200" w:line-rule="auto"/>
        <w:ind w:firstLine="540"/>
        <w:jc w:val="both"/>
      </w:pPr>
      <w:r>
        <w:rPr>
          <w:sz w:val="20"/>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w:history="0" r:id="rId65"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подпунктом 2 пункта 1 статьи 6</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w:history="0" r:id="rId66"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pPr>
        <w:pStyle w:val="0"/>
        <w:spacing w:before="200" w:line-rule="auto"/>
        <w:ind w:firstLine="540"/>
        <w:jc w:val="both"/>
      </w:pPr>
      <w:r>
        <w:rPr>
          <w:sz w:val="20"/>
        </w:rPr>
        <w:t xml:space="preserve">5. К заявлению прилагаются следующие документы (копии документов):</w:t>
      </w:r>
    </w:p>
    <w:p>
      <w:pPr>
        <w:pStyle w:val="0"/>
        <w:spacing w:before="200" w:line-rule="auto"/>
        <w:ind w:firstLine="540"/>
        <w:jc w:val="both"/>
      </w:pPr>
      <w:r>
        <w:rPr>
          <w:sz w:val="20"/>
        </w:rPr>
        <w:t xml:space="preserve">а) план финансового обеспечения предупредительных мер в текущем календарном году, рекомендуемый образец которого приведен в </w:t>
      </w:r>
      <w:hyperlink w:history="0" w:anchor="P306" w:tooltip="ПЛАН">
        <w:r>
          <w:rPr>
            <w:sz w:val="20"/>
            <w:color w:val="0000ff"/>
          </w:rPr>
          <w:t xml:space="preserve">приложении</w:t>
        </w:r>
      </w:hyperlink>
      <w:r>
        <w:rPr>
          <w:sz w:val="20"/>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pPr>
        <w:pStyle w:val="0"/>
        <w:jc w:val="both"/>
      </w:pPr>
      <w:r>
        <w:rPr>
          <w:sz w:val="20"/>
        </w:rPr>
        <w:t xml:space="preserve">(в ред. </w:t>
      </w:r>
      <w:hyperlink w:history="0" r:id="rId6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pPr>
        <w:pStyle w:val="0"/>
        <w:jc w:val="both"/>
      </w:pPr>
      <w:r>
        <w:rPr>
          <w:sz w:val="20"/>
        </w:rPr>
        <w:t xml:space="preserve">(в ред. Приказов Минтруда России от 31.05.2022 </w:t>
      </w:r>
      <w:hyperlink w:history="0" r:id="rId6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rPr>
        <w:t xml:space="preserve">, от 27.02.2023 </w:t>
      </w:r>
      <w:hyperlink w:history="0" r:id="rId6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bookmarkStart w:id="111" w:name="P111"/>
    <w:bookmarkEnd w:id="111"/>
    <w:p>
      <w:pPr>
        <w:pStyle w:val="0"/>
        <w:spacing w:before="200" w:line-rule="auto"/>
        <w:ind w:firstLine="540"/>
        <w:jc w:val="both"/>
      </w:pPr>
      <w:r>
        <w:rPr>
          <w:sz w:val="20"/>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pPr>
        <w:pStyle w:val="0"/>
        <w:spacing w:before="200" w:line-rule="auto"/>
        <w:ind w:firstLine="540"/>
        <w:jc w:val="both"/>
      </w:pPr>
      <w:r>
        <w:rPr>
          <w:sz w:val="20"/>
        </w:rPr>
        <w:t xml:space="preserve">а)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абзац исключен. - </w:t>
      </w:r>
      <w:hyperlink w:history="0" r:id="rId7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pPr>
        <w:pStyle w:val="0"/>
        <w:jc w:val="both"/>
      </w:pPr>
      <w:r>
        <w:rPr>
          <w:sz w:val="20"/>
        </w:rPr>
        <w:t xml:space="preserve">(в ред. </w:t>
      </w:r>
      <w:hyperlink w:history="0" r:id="rId7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б)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pPr>
        <w:pStyle w:val="0"/>
        <w:jc w:val="both"/>
      </w:pPr>
      <w:r>
        <w:rPr>
          <w:sz w:val="20"/>
        </w:rPr>
        <w:t xml:space="preserve">(в ред. </w:t>
      </w:r>
      <w:hyperlink w:history="0" r:id="rId7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Сноска исключена. - </w:t>
      </w:r>
      <w:hyperlink w:history="0" r:id="rId7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pPr>
        <w:pStyle w:val="0"/>
        <w:jc w:val="both"/>
      </w:pPr>
      <w:r>
        <w:rPr>
          <w:sz w:val="20"/>
        </w:rPr>
        <w:t xml:space="preserve">(в ред. </w:t>
      </w:r>
      <w:hyperlink w:history="0" r:id="rId7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pPr>
        <w:pStyle w:val="0"/>
        <w:spacing w:before="200" w:line-rule="auto"/>
        <w:ind w:firstLine="540"/>
        <w:jc w:val="both"/>
      </w:pPr>
      <w:r>
        <w:rPr>
          <w:sz w:val="20"/>
        </w:rPr>
        <w:t xml:space="preserve">копию договора на приобретение соответствующего оборудования и (или) на проведение соответствующих работ;</w:t>
      </w:r>
    </w:p>
    <w:p>
      <w:pPr>
        <w:pStyle w:val="0"/>
        <w:spacing w:before="200" w:line-rule="auto"/>
        <w:ind w:firstLine="540"/>
        <w:jc w:val="both"/>
      </w:pPr>
      <w:r>
        <w:rPr>
          <w:sz w:val="20"/>
        </w:rPr>
        <w:t xml:space="preserve">в) в случае включения в план финансового обеспечения предупредительных мер, предусмотренных </w:t>
      </w:r>
      <w:hyperlink w:history="0" w:anchor="P65"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75"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Постановление</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ind w:firstLine="540"/>
        <w:jc w:val="both"/>
      </w:pPr>
      <w:r>
        <w:rPr>
          <w:sz w:val="20"/>
        </w:rPr>
      </w:r>
    </w:p>
    <w:p>
      <w:pPr>
        <w:pStyle w:val="0"/>
        <w:ind w:firstLine="540"/>
        <w:jc w:val="both"/>
      </w:pPr>
      <w:r>
        <w:rPr>
          <w:sz w:val="20"/>
        </w:rP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pPr>
        <w:pStyle w:val="0"/>
        <w:spacing w:before="200" w:line-rule="auto"/>
        <w:ind w:firstLine="540"/>
        <w:jc w:val="both"/>
      </w:pPr>
      <w:r>
        <w:rPr>
          <w:sz w:val="20"/>
        </w:rPr>
        <w:t xml:space="preserve">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pPr>
        <w:pStyle w:val="0"/>
        <w:spacing w:before="200" w:line-rule="auto"/>
        <w:ind w:firstLine="540"/>
        <w:jc w:val="both"/>
      </w:pPr>
      <w:r>
        <w:rPr>
          <w:sz w:val="20"/>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pPr>
        <w:pStyle w:val="0"/>
        <w:spacing w:before="200" w:line-rule="auto"/>
        <w:ind w:firstLine="540"/>
        <w:jc w:val="both"/>
      </w:pPr>
      <w:r>
        <w:rPr>
          <w:sz w:val="20"/>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pPr>
        <w:pStyle w:val="0"/>
        <w:spacing w:before="200" w:line-rule="auto"/>
        <w:ind w:firstLine="540"/>
        <w:jc w:val="both"/>
      </w:pPr>
      <w:r>
        <w:rPr>
          <w:sz w:val="20"/>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pPr>
        <w:pStyle w:val="0"/>
        <w:jc w:val="both"/>
      </w:pPr>
      <w:r>
        <w:rPr>
          <w:sz w:val="20"/>
        </w:rPr>
        <w:t xml:space="preserve">(пп. "в" в ред. </w:t>
      </w:r>
      <w:hyperlink w:history="0" r:id="rId7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г)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8"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w:history="0" r:id="rId77"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w:t>
      </w:r>
      <w:r>
        <w:rPr>
          <w:sz w:val="20"/>
        </w:rPr>
        <w:t xml:space="preserve">http://www.tsouz.ru/</w:t>
      </w:r>
      <w:r>
        <w:rPr>
          <w:sz w:val="20"/>
        </w:rPr>
        <w:t xml:space="preserve">,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pPr>
        <w:pStyle w:val="0"/>
        <w:jc w:val="both"/>
      </w:pPr>
      <w:r>
        <w:rPr>
          <w:sz w:val="20"/>
        </w:rPr>
        <w:t xml:space="preserve">(в ред. </w:t>
      </w:r>
      <w:hyperlink w:history="0" r:id="rId7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r>
        <w:rPr>
          <w:sz w:val="20"/>
        </w:rPr>
        <w:t xml:space="preserve">http://www.tsouz.ru/</w:t>
      </w:r>
      <w:r>
        <w:rPr>
          <w:sz w:val="20"/>
        </w:rPr>
        <w:t xml:space="preserve">, 20.11.2012), от 6 марта 2018 г. N 37 (официальный сайт Евразийского экономического союза </w:t>
      </w:r>
      <w:r>
        <w:rPr>
          <w:sz w:val="20"/>
        </w:rPr>
        <w:t xml:space="preserve">http://www.eaeunion.org/</w:t>
      </w:r>
      <w:r>
        <w:rPr>
          <w:sz w:val="20"/>
        </w:rPr>
        <w:t xml:space="preserve">, 07.03.2018), Совета Евразийской экономической комиссии от 28 мая 2019 г. N 55 (официальный сайт Евразийского экономического союза </w:t>
      </w:r>
      <w:r>
        <w:rPr>
          <w:sz w:val="20"/>
        </w:rPr>
        <w:t xml:space="preserve">http://www.eaeunion.org/</w:t>
      </w:r>
      <w:r>
        <w:rPr>
          <w:sz w:val="20"/>
        </w:rPr>
        <w:t xml:space="preserve">, 31.05.2019), решением Коллегии Евразийской экономической комиссии от 3 марта 2020 г. N 30 (Официальный сайт Евразийского экономического союза </w:t>
      </w:r>
      <w:r>
        <w:rPr>
          <w:sz w:val="20"/>
        </w:rPr>
        <w:t xml:space="preserve">http://www.eaeunion.org/</w:t>
      </w:r>
      <w:r>
        <w:rPr>
          <w:sz w:val="20"/>
        </w:rPr>
        <w:t xml:space="preserve">, 05.03.2020). Является обязательным для Российской Федерации в соответствии с </w:t>
      </w:r>
      <w:hyperlink w:history="0" r:id="rId79"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80"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81"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8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(сноска введена </w:t>
      </w:r>
      <w:hyperlink w:history="0" r:id="rId8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абзацы третий - четвертый исключены. - </w:t>
      </w:r>
      <w:hyperlink w:history="0" r:id="rId8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pPr>
        <w:pStyle w:val="0"/>
        <w:jc w:val="both"/>
      </w:pPr>
      <w:r>
        <w:rPr>
          <w:sz w:val="20"/>
        </w:rPr>
        <w:t xml:space="preserve">(в ред. </w:t>
      </w:r>
      <w:hyperlink w:history="0" r:id="rId8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86" w:tooltip="Постановление Правительства РФ от 17.07.2015 N 719 (ред. от 13.12.2023) &quot;О подтверждении производства промышленной продукции на территории Российской Федерации&quot;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pPr>
        <w:pStyle w:val="0"/>
        <w:jc w:val="both"/>
      </w:pPr>
      <w:r>
        <w:rPr>
          <w:sz w:val="20"/>
        </w:rPr>
        <w:t xml:space="preserve">(в ред. </w:t>
      </w:r>
      <w:hyperlink w:history="0" r:id="rId8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pPr>
        <w:pStyle w:val="0"/>
        <w:jc w:val="both"/>
      </w:pPr>
      <w:r>
        <w:rPr>
          <w:sz w:val="20"/>
        </w:rPr>
        <w:t xml:space="preserve">(в ред. </w:t>
      </w:r>
      <w:hyperlink w:history="0" r:id="rId8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156" w:name="P156"/>
    <w:bookmarkEnd w:id="156"/>
    <w:p>
      <w:pPr>
        <w:pStyle w:val="0"/>
        <w:spacing w:before="200" w:line-rule="auto"/>
        <w:ind w:firstLine="540"/>
        <w:jc w:val="both"/>
      </w:pPr>
      <w:r>
        <w:rPr>
          <w:sz w:val="20"/>
        </w:rPr>
        <w:t xml:space="preserve">д)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9"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pPr>
        <w:pStyle w:val="0"/>
        <w:spacing w:before="200" w:line-rule="auto"/>
        <w:ind w:firstLine="540"/>
        <w:jc w:val="both"/>
      </w:pPr>
      <w:r>
        <w:rPr>
          <w:sz w:val="20"/>
        </w:rPr>
        <w:t xml:space="preserve">список работников, направляемых на санаторно-курортное лечение, с указанием рекомендаций, содержащихся в заключительном акте;</w:t>
      </w:r>
    </w:p>
    <w:p>
      <w:pPr>
        <w:pStyle w:val="0"/>
        <w:spacing w:before="200" w:line-rule="auto"/>
        <w:ind w:firstLine="540"/>
        <w:jc w:val="both"/>
      </w:pPr>
      <w:r>
        <w:rPr>
          <w:sz w:val="20"/>
        </w:rPr>
        <w:t xml:space="preserve">абзац утратил силу. - </w:t>
      </w:r>
      <w:hyperlink w:history="0" r:id="rId8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pPr>
        <w:pStyle w:val="0"/>
        <w:spacing w:before="200" w:line-rule="auto"/>
        <w:ind w:firstLine="540"/>
        <w:jc w:val="both"/>
      </w:pPr>
      <w:r>
        <w:rPr>
          <w:sz w:val="20"/>
        </w:rPr>
        <w:t xml:space="preserve">калькуляцию стоимости путевки.</w:t>
      </w:r>
    </w:p>
    <w:p>
      <w:pPr>
        <w:pStyle w:val="0"/>
        <w:spacing w:before="200" w:line-rule="auto"/>
        <w:ind w:firstLine="540"/>
        <w:jc w:val="both"/>
      </w:pPr>
      <w:r>
        <w:rPr>
          <w:sz w:val="20"/>
        </w:rPr>
        <w:t xml:space="preserve">Дополнительно,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w:t>
      </w:r>
    </w:p>
    <w:p>
      <w:pPr>
        <w:pStyle w:val="0"/>
        <w:spacing w:before="200" w:line-rule="auto"/>
        <w:ind w:firstLine="540"/>
        <w:jc w:val="both"/>
      </w:pPr>
      <w:r>
        <w:rPr>
          <w:sz w:val="20"/>
        </w:rPr>
        <w:t xml:space="preserve">копию справки для получения путевки на санаторно-курортное лечение по </w:t>
      </w:r>
      <w:hyperlink w:history="0" r:id="rId90"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w:t>
        </w:r>
      </w:hyperlink>
      <w:r>
        <w:rPr>
          <w:sz w:val="20"/>
        </w:rP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91"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w:history="0" r:id="rId92"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N 070/у</w:t>
        </w:r>
      </w:hyperlink>
      <w:r>
        <w:rPr>
          <w:sz w:val="20"/>
        </w:rPr>
        <w:t xml:space="preserve">, при отсутствии заключительного акта;</w:t>
      </w:r>
    </w:p>
    <w:p>
      <w:pPr>
        <w:pStyle w:val="0"/>
        <w:spacing w:before="200" w:line-rule="auto"/>
        <w:ind w:firstLine="540"/>
        <w:jc w:val="both"/>
      </w:pPr>
      <w:r>
        <w:rPr>
          <w:sz w:val="20"/>
        </w:rPr>
        <w:t xml:space="preserve">абзац утратил силу. - </w:t>
      </w:r>
      <w:hyperlink w:history="0" r:id="rId9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е)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0"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pPr>
        <w:pStyle w:val="0"/>
        <w:jc w:val="both"/>
      </w:pPr>
      <w:r>
        <w:rPr>
          <w:sz w:val="20"/>
        </w:rPr>
        <w:t xml:space="preserve">(в ред. </w:t>
      </w:r>
      <w:hyperlink w:history="0" r:id="rId9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95"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w:history="0" r:id="rId96"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pPr>
        <w:pStyle w:val="0"/>
        <w:jc w:val="both"/>
      </w:pPr>
      <w:r>
        <w:rPr>
          <w:sz w:val="20"/>
        </w:rPr>
        <w:t xml:space="preserve">(в ред. </w:t>
      </w:r>
      <w:hyperlink w:history="0" r:id="rId9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абзац утратил силу. - </w:t>
      </w:r>
      <w:hyperlink w:history="0" r:id="rId9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ж)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5" w:tooltip="ж) обеспечение лечебно-профилактическим питанием (далее - ЛПП) работников,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
        <w:r>
          <w:rPr>
            <w:sz w:val="20"/>
            <w:color w:val="0000ff"/>
          </w:rPr>
          <w:t xml:space="preserve">подпунктом "ж"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ЛПП, с указанием их профессий (должностей) и норм выдачи со ссылкой на соответствующий пункт </w:t>
      </w:r>
      <w:hyperlink w:history="0" r:id="rId99"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Перечня</w:t>
        </w:r>
      </w:hyperlink>
      <w:r>
        <w:rPr>
          <w:sz w:val="20"/>
        </w:rPr>
        <w:t xml:space="preserve"> отдельных видов работ;</w:t>
      </w:r>
    </w:p>
    <w:p>
      <w:pPr>
        <w:pStyle w:val="0"/>
        <w:jc w:val="both"/>
      </w:pPr>
      <w:r>
        <w:rPr>
          <w:sz w:val="20"/>
        </w:rPr>
        <w:t xml:space="preserve">(в ред. </w:t>
      </w:r>
      <w:hyperlink w:history="0" r:id="rId10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номер рациона ЛПП;</w:t>
      </w:r>
    </w:p>
    <w:p>
      <w:pPr>
        <w:pStyle w:val="0"/>
        <w:spacing w:before="200" w:line-rule="auto"/>
        <w:ind w:firstLine="540"/>
        <w:jc w:val="both"/>
      </w:pPr>
      <w:r>
        <w:rPr>
          <w:sz w:val="20"/>
        </w:rPr>
        <w:t xml:space="preserve">абзац утратил силу. - </w:t>
      </w:r>
      <w:hyperlink w:history="0" r:id="rId10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документов о фактически отработанном работниками времени в особо вредных условиях труда;</w:t>
      </w:r>
    </w:p>
    <w:p>
      <w:pPr>
        <w:pStyle w:val="0"/>
        <w:spacing w:before="200" w:line-rule="auto"/>
        <w:ind w:firstLine="540"/>
        <w:jc w:val="both"/>
      </w:pPr>
      <w:r>
        <w:rPr>
          <w:sz w:val="20"/>
        </w:rPr>
        <w:t xml:space="preserve">копии постатейных смет расходов, запланированных страхователем на обеспечение работников ЛПП, на планируемый период;</w:t>
      </w:r>
    </w:p>
    <w:p>
      <w:pPr>
        <w:pStyle w:val="0"/>
        <w:spacing w:before="200" w:line-rule="auto"/>
        <w:ind w:firstLine="540"/>
        <w:jc w:val="both"/>
      </w:pPr>
      <w:r>
        <w:rPr>
          <w:sz w:val="20"/>
        </w:rPr>
        <w:t xml:space="preserve">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pPr>
        <w:pStyle w:val="0"/>
        <w:spacing w:before="200" w:line-rule="auto"/>
        <w:ind w:firstLine="540"/>
        <w:jc w:val="both"/>
      </w:pPr>
      <w:r>
        <w:rPr>
          <w:sz w:val="20"/>
        </w:rPr>
        <w:t xml:space="preserve">копии документов, подтверждающих затраты страхователя на обеспечение работников ЛПП;</w:t>
      </w:r>
    </w:p>
    <w:p>
      <w:pPr>
        <w:pStyle w:val="0"/>
        <w:spacing w:before="200" w:line-rule="auto"/>
        <w:ind w:firstLine="540"/>
        <w:jc w:val="both"/>
      </w:pPr>
      <w:r>
        <w:rPr>
          <w:sz w:val="20"/>
        </w:rPr>
        <w:t xml:space="preserve">з)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проведении предсменных (послесменных) и (или) предрейсовых (послерейсовых) медицинских осмотров работников;</w:t>
      </w:r>
    </w:p>
    <w:p>
      <w:pPr>
        <w:pStyle w:val="0"/>
        <w:spacing w:before="200" w:line-rule="auto"/>
        <w:ind w:firstLine="540"/>
        <w:jc w:val="both"/>
      </w:pPr>
      <w:r>
        <w:rPr>
          <w:sz w:val="20"/>
        </w:rP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pPr>
        <w:pStyle w:val="0"/>
        <w:jc w:val="both"/>
      </w:pPr>
      <w:r>
        <w:rPr>
          <w:sz w:val="20"/>
        </w:rPr>
        <w:t xml:space="preserve">(в ред. </w:t>
      </w:r>
      <w:hyperlink w:history="0" r:id="rId10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медицинские изделия;</w:t>
      </w:r>
    </w:p>
    <w:p>
      <w:pPr>
        <w:pStyle w:val="0"/>
        <w:spacing w:before="200" w:line-rule="auto"/>
        <w:ind w:firstLine="540"/>
        <w:jc w:val="both"/>
      </w:pPr>
      <w:r>
        <w:rPr>
          <w:sz w:val="20"/>
        </w:rPr>
        <w:t xml:space="preserve">и)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2"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w:t>
      </w:r>
    </w:p>
    <w:p>
      <w:pPr>
        <w:pStyle w:val="0"/>
        <w:spacing w:before="200" w:line-rule="auto"/>
        <w:ind w:firstLine="540"/>
        <w:jc w:val="both"/>
      </w:pPr>
      <w:r>
        <w:rPr>
          <w:sz w:val="20"/>
        </w:rPr>
        <w:t xml:space="preserve">абзац утратил силу. - </w:t>
      </w:r>
      <w:hyperlink w:history="0" r:id="rId10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pPr>
        <w:pStyle w:val="0"/>
        <w:spacing w:before="200" w:line-rule="auto"/>
        <w:ind w:firstLine="540"/>
        <w:jc w:val="both"/>
      </w:pPr>
      <w:r>
        <w:rPr>
          <w:sz w:val="20"/>
        </w:rPr>
        <w:t xml:space="preserve">абзац утратил силу. - </w:t>
      </w:r>
      <w:hyperlink w:history="0" r:id="rId104"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ТС в органах Государственной инспекции безопасности дорожного движения;</w:t>
      </w:r>
    </w:p>
    <w:p>
      <w:pPr>
        <w:pStyle w:val="0"/>
        <w:spacing w:before="200" w:line-rule="auto"/>
        <w:ind w:firstLine="540"/>
        <w:jc w:val="both"/>
      </w:pPr>
      <w:r>
        <w:rPr>
          <w:sz w:val="20"/>
        </w:rPr>
        <w:t xml:space="preserve">копии счетов на оплату приобретаемых тахографов;</w:t>
      </w:r>
    </w:p>
    <w:p>
      <w:pPr>
        <w:pStyle w:val="0"/>
        <w:spacing w:before="200" w:line-rule="auto"/>
        <w:ind w:firstLine="540"/>
        <w:jc w:val="both"/>
      </w:pPr>
      <w:r>
        <w:rPr>
          <w:sz w:val="20"/>
        </w:rPr>
        <w:t xml:space="preserve">к)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3" w:tooltip="к) приобретение страхователями аптечек для оказания первой помощи;">
        <w:r>
          <w:rPr>
            <w:sz w:val="20"/>
            <w:color w:val="0000ff"/>
          </w:rPr>
          <w:t xml:space="preserve">подпунктом "к" пункта 3</w:t>
        </w:r>
      </w:hyperlink>
      <w:r>
        <w:rPr>
          <w:sz w:val="20"/>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05"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pPr>
        <w:pStyle w:val="0"/>
        <w:jc w:val="both"/>
      </w:pPr>
      <w:r>
        <w:rPr>
          <w:sz w:val="20"/>
        </w:rPr>
      </w:r>
    </w:p>
    <w:p>
      <w:pPr>
        <w:pStyle w:val="0"/>
        <w:ind w:firstLine="540"/>
        <w:jc w:val="both"/>
      </w:pPr>
      <w:r>
        <w:rPr>
          <w:sz w:val="20"/>
        </w:rPr>
        <w:t xml:space="preserve">л)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4" w:tooltip="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r>
          <w:rPr>
            <w:sz w:val="20"/>
            <w:color w:val="0000ff"/>
          </w:rPr>
          <w:t xml:space="preserve">подпунктами "л"</w:t>
        </w:r>
      </w:hyperlink>
      <w:r>
        <w:rPr>
          <w:sz w:val="20"/>
        </w:rPr>
        <w:t xml:space="preserve">, </w:t>
      </w:r>
      <w:hyperlink w:history="0" w:anchor="P95"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w:t>
        </w:r>
      </w:hyperlink>
      <w:r>
        <w:rPr>
          <w:sz w:val="20"/>
        </w:rPr>
        <w:t xml:space="preserve"> и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 пункта 3</w:t>
        </w:r>
      </w:hyperlink>
      <w:r>
        <w:rPr>
          <w:sz w:val="20"/>
        </w:rPr>
        <w:t xml:space="preserve"> Правил:</w:t>
      </w:r>
    </w:p>
    <w:p>
      <w:pPr>
        <w:pStyle w:val="0"/>
        <w:jc w:val="both"/>
      </w:pPr>
      <w:r>
        <w:rPr>
          <w:sz w:val="20"/>
        </w:rPr>
        <w:t xml:space="preserve">(в ред. </w:t>
      </w:r>
      <w:hyperlink w:history="0" r:id="rId10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w:t>
      </w:r>
      <w:hyperlink w:history="0" r:id="rId10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Приказов Минтруда России от 02.03.2022 </w:t>
      </w:r>
      <w:hyperlink w:history="0" r:id="rId108"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rPr>
        <w:t xml:space="preserve">, от 27.02.2023 </w:t>
      </w:r>
      <w:hyperlink w:history="0" r:id="rId10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абзац утратил силу. - </w:t>
      </w:r>
      <w:hyperlink w:history="0" r:id="rId11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м)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8"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подпунктом "о"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списки работников, направляемых на мониторинг состояния здоровья на рабочем месте, с указанием рекомендаций, содержащихся в заключительном акте;</w:t>
      </w:r>
    </w:p>
    <w:p>
      <w:pPr>
        <w:pStyle w:val="0"/>
        <w:spacing w:before="200" w:line-rule="auto"/>
        <w:ind w:firstLine="540"/>
        <w:jc w:val="both"/>
      </w:pPr>
      <w:r>
        <w:rPr>
          <w:sz w:val="20"/>
        </w:rPr>
        <w:t xml:space="preserve">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pPr>
        <w:pStyle w:val="0"/>
        <w:spacing w:before="200" w:line-rule="auto"/>
        <w:ind w:firstLine="540"/>
        <w:jc w:val="both"/>
      </w:pPr>
      <w:r>
        <w:rPr>
          <w:sz w:val="20"/>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pPr>
        <w:pStyle w:val="0"/>
        <w:spacing w:before="200" w:line-rule="auto"/>
        <w:ind w:firstLine="540"/>
        <w:jc w:val="both"/>
      </w:pPr>
      <w:r>
        <w:rPr>
          <w:sz w:val="20"/>
        </w:rP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pPr>
        <w:pStyle w:val="0"/>
        <w:spacing w:before="200" w:line-rule="auto"/>
        <w:ind w:firstLine="540"/>
        <w:jc w:val="both"/>
      </w:pPr>
      <w:r>
        <w:rPr>
          <w:sz w:val="20"/>
        </w:rPr>
        <w:t xml:space="preserve">н) в случае включения в план финансового обеспечения предупредительных мер, предусмотренных </w:t>
      </w:r>
      <w:hyperlink w:history="0" w:anchor="P101"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подпунктом "р"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w:history="0" r:id="rId111"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уровни которых превышают установленные нормативы;</w:t>
      </w:r>
    </w:p>
    <w:p>
      <w:pPr>
        <w:pStyle w:val="0"/>
        <w:jc w:val="both"/>
      </w:pPr>
      <w:r>
        <w:rPr>
          <w:sz w:val="20"/>
        </w:rPr>
        <w:t xml:space="preserve">(в ред. </w:t>
      </w:r>
      <w:hyperlink w:history="0" r:id="rId11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1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1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w:t>
      </w:r>
    </w:p>
    <w:p>
      <w:pPr>
        <w:pStyle w:val="0"/>
        <w:jc w:val="both"/>
      </w:pPr>
      <w:r>
        <w:rPr>
          <w:sz w:val="20"/>
        </w:rPr>
        <w:t xml:space="preserve">(в ред. </w:t>
      </w:r>
      <w:hyperlink w:history="0" r:id="rId11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Сноска исключена. - </w:t>
      </w:r>
      <w:hyperlink w:history="0" r:id="rId11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pPr>
      <w:r>
        <w:rPr>
          <w:sz w:val="20"/>
        </w:rPr>
      </w:r>
    </w:p>
    <w:p>
      <w:pPr>
        <w:pStyle w:val="0"/>
        <w:ind w:firstLine="540"/>
        <w:jc w:val="both"/>
      </w:pPr>
      <w:r>
        <w:rPr>
          <w:sz w:val="20"/>
        </w:rPr>
        <w:t xml:space="preserve">копии договоров страхователя на закупку молока или других равноценных пищевых продуктов;</w:t>
      </w:r>
    </w:p>
    <w:p>
      <w:pPr>
        <w:pStyle w:val="0"/>
        <w:spacing w:before="200" w:line-rule="auto"/>
        <w:ind w:firstLine="540"/>
        <w:jc w:val="both"/>
      </w:pPr>
      <w:r>
        <w:rPr>
          <w:sz w:val="20"/>
        </w:rPr>
        <w:t xml:space="preserve">расчет стоимости молока или других равноценных пищевых продуктов.</w:t>
      </w:r>
    </w:p>
    <w:p>
      <w:pPr>
        <w:pStyle w:val="0"/>
        <w:jc w:val="both"/>
      </w:pPr>
      <w:r>
        <w:rPr>
          <w:sz w:val="20"/>
        </w:rPr>
        <w:t xml:space="preserve">(пп. "н" введен </w:t>
      </w:r>
      <w:hyperlink w:history="0" r:id="rId11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6.1. Утратил силу. - </w:t>
      </w:r>
      <w:hyperlink w:history="0" r:id="rId11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1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2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 в случае включения в план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подпунктами "б"</w:t>
        </w:r>
      </w:hyperlink>
      <w:r>
        <w:rPr>
          <w:sz w:val="20"/>
        </w:rPr>
        <w:t xml:space="preserve"> и </w:t>
      </w:r>
      <w:hyperlink w:history="0" w:anchor="P101"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"р" пункта 3</w:t>
        </w:r>
      </w:hyperlink>
      <w:r>
        <w:rPr>
          <w:sz w:val="20"/>
        </w:rPr>
        <w:t xml:space="preserve">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history="0" w:anchor="P65"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подпунктами "в"</w:t>
        </w:r>
      </w:hyperlink>
      <w:r>
        <w:rPr>
          <w:sz w:val="20"/>
        </w:rPr>
        <w:t xml:space="preserve"> и </w:t>
      </w:r>
      <w:hyperlink w:history="0" w:anchor="P95"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 пункта 3</w:t>
        </w:r>
      </w:hyperlink>
      <w:r>
        <w:rPr>
          <w:sz w:val="20"/>
        </w:rPr>
        <w:t xml:space="preserve">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history="0" w:anchor="P79"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history="0" w:anchor="P80"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в) в Федеральной службе по аккредитации:</w:t>
      </w:r>
    </w:p>
    <w:p>
      <w:pPr>
        <w:pStyle w:val="0"/>
        <w:spacing w:before="200" w:line-rule="auto"/>
        <w:ind w:firstLine="540"/>
        <w:jc w:val="both"/>
      </w:pPr>
      <w:r>
        <w:rPr>
          <w:sz w:val="20"/>
        </w:rPr>
        <w:t xml:space="preserve">сведения о документах об оценке (подтверждении) соответствия СИЗ требованиям технического </w:t>
      </w:r>
      <w:hyperlink w:history="0" r:id="rId121"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регламента</w:t>
        </w:r>
      </w:hyperlink>
      <w:r>
        <w:rPr>
          <w:sz w:val="20"/>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history="0" w:anchor="P78"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history="0" w:anchor="P92"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jc w:val="both"/>
      </w:pPr>
      <w:r>
        <w:rPr>
          <w:sz w:val="20"/>
        </w:rPr>
        <w:t xml:space="preserve">(п. 7 в ред. </w:t>
      </w:r>
      <w:hyperlink w:history="0" r:id="rId12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7.1. Для обоснования финансового обеспечения мероприятия, предусмотренного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pPr>
        <w:pStyle w:val="0"/>
        <w:jc w:val="both"/>
      </w:pPr>
      <w:r>
        <w:rPr>
          <w:sz w:val="20"/>
        </w:rPr>
        <w:t xml:space="preserve">(п. 7.1 введен </w:t>
      </w:r>
      <w:hyperlink w:history="0" r:id="rId12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spacing w:before="200" w:line-rule="auto"/>
        <w:ind w:firstLine="540"/>
        <w:jc w:val="both"/>
      </w:pPr>
      <w:r>
        <w:rPr>
          <w:sz w:val="20"/>
        </w:rPr>
        <w:t xml:space="preserve">8. Копии документов, прилагаемых к заявлению, должны быть заверены печатью страхователя (при наличии печати).</w:t>
      </w:r>
    </w:p>
    <w:p>
      <w:pPr>
        <w:pStyle w:val="0"/>
        <w:spacing w:before="200" w:line-rule="auto"/>
        <w:ind w:firstLine="540"/>
        <w:jc w:val="both"/>
      </w:pPr>
      <w:r>
        <w:rPr>
          <w:sz w:val="20"/>
        </w:rPr>
        <w:t xml:space="preserve">Представление страхователями иных документов (копий документов), в том числе запрашиваемых посредством межведомственного запроса, не требуется.</w:t>
      </w:r>
    </w:p>
    <w:p>
      <w:pPr>
        <w:pStyle w:val="0"/>
        <w:spacing w:before="200" w:line-rule="auto"/>
        <w:ind w:firstLine="540"/>
        <w:jc w:val="both"/>
      </w:pPr>
      <w:r>
        <w:rPr>
          <w:sz w:val="20"/>
        </w:rPr>
        <w:t xml:space="preserve">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pPr>
        <w:pStyle w:val="0"/>
        <w:spacing w:before="200" w:line-rule="auto"/>
        <w:ind w:firstLine="540"/>
        <w:jc w:val="both"/>
      </w:pPr>
      <w:r>
        <w:rPr>
          <w:sz w:val="20"/>
        </w:rPr>
        <w:t xml:space="preserve">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pPr>
        <w:pStyle w:val="0"/>
        <w:spacing w:before="200" w:line-rule="auto"/>
        <w:ind w:firstLine="540"/>
        <w:jc w:val="both"/>
      </w:pPr>
      <w:r>
        <w:rPr>
          <w:sz w:val="20"/>
        </w:rPr>
        <w:t xml:space="preserve">б) о ходе рассмотрения заявления.</w:t>
      </w:r>
    </w:p>
    <w:bookmarkStart w:id="254" w:name="P254"/>
    <w:bookmarkEnd w:id="254"/>
    <w:p>
      <w:pPr>
        <w:pStyle w:val="0"/>
        <w:spacing w:before="200" w:line-rule="auto"/>
        <w:ind w:firstLine="540"/>
        <w:jc w:val="both"/>
      </w:pPr>
      <w:r>
        <w:rPr>
          <w:sz w:val="20"/>
        </w:rPr>
        <w:t xml:space="preserve">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pPr>
        <w:pStyle w:val="0"/>
        <w:spacing w:before="200" w:line-rule="auto"/>
        <w:ind w:firstLine="540"/>
        <w:jc w:val="both"/>
      </w:pPr>
      <w:r>
        <w:rPr>
          <w:sz w:val="20"/>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 после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pPr>
        <w:pStyle w:val="0"/>
        <w:jc w:val="both"/>
      </w:pPr>
      <w:r>
        <w:rPr>
          <w:sz w:val="20"/>
        </w:rPr>
        <w:t xml:space="preserve">(в ред. </w:t>
      </w:r>
      <w:hyperlink w:history="0" r:id="rId124"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В отношении страхователей, включивших в план финансового обеспечения предупредительные меры, предусмотренные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pPr>
        <w:pStyle w:val="0"/>
        <w:jc w:val="both"/>
      </w:pPr>
      <w:r>
        <w:rPr>
          <w:sz w:val="20"/>
        </w:rPr>
        <w:t xml:space="preserve">(абзац введен </w:t>
      </w:r>
      <w:hyperlink w:history="0" r:id="rId12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 в ред. </w:t>
      </w:r>
      <w:hyperlink w:history="0" r:id="rId12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pPr>
        <w:pStyle w:val="0"/>
        <w:spacing w:before="200" w:line-rule="auto"/>
        <w:ind w:firstLine="540"/>
        <w:jc w:val="both"/>
      </w:pPr>
      <w:r>
        <w:rPr>
          <w:sz w:val="20"/>
        </w:rPr>
        <w:t xml:space="preserve">12. Территориальный орган Фонда принимает решение об отказе в финансовом обеспечении предупредительных мер в следующих случаях:</w:t>
      </w:r>
    </w:p>
    <w:p>
      <w:pPr>
        <w:pStyle w:val="0"/>
        <w:spacing w:before="200" w:line-rule="auto"/>
        <w:ind w:firstLine="540"/>
        <w:jc w:val="both"/>
      </w:pPr>
      <w:r>
        <w:rPr>
          <w:sz w:val="20"/>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pPr>
        <w:pStyle w:val="0"/>
        <w:spacing w:before="200" w:line-rule="auto"/>
        <w:ind w:firstLine="540"/>
        <w:jc w:val="both"/>
      </w:pPr>
      <w:r>
        <w:rPr>
          <w:sz w:val="20"/>
        </w:rPr>
        <w:t xml:space="preserve">б) представленные документы содержат недостоверную информацию;</w:t>
      </w:r>
    </w:p>
    <w:p>
      <w:pPr>
        <w:pStyle w:val="0"/>
        <w:spacing w:before="200" w:line-rule="auto"/>
        <w:ind w:firstLine="540"/>
        <w:jc w:val="both"/>
      </w:pPr>
      <w:r>
        <w:rPr>
          <w:sz w:val="20"/>
        </w:rPr>
        <w:t xml:space="preserve">в) если предусмотренные бюджетом Фонда средства на финансовое обеспечение предупредительных мер на текущий год полностью распределены;</w:t>
      </w:r>
    </w:p>
    <w:p>
      <w:pPr>
        <w:pStyle w:val="0"/>
        <w:spacing w:before="200" w:line-rule="auto"/>
        <w:ind w:firstLine="540"/>
        <w:jc w:val="both"/>
      </w:pPr>
      <w:r>
        <w:rPr>
          <w:sz w:val="20"/>
        </w:rPr>
        <w:t xml:space="preserve">г) при представлении страхователем неполного комплекта документов.</w:t>
      </w:r>
    </w:p>
    <w:p>
      <w:pPr>
        <w:pStyle w:val="0"/>
        <w:spacing w:before="200" w:line-rule="auto"/>
        <w:ind w:firstLine="540"/>
        <w:jc w:val="both"/>
      </w:pPr>
      <w:r>
        <w:rPr>
          <w:sz w:val="20"/>
        </w:rPr>
        <w:t xml:space="preserve">Отказ в финансовом обеспечении предупредительных мер по другим основаниям не допускается.</w:t>
      </w:r>
    </w:p>
    <w:p>
      <w:pPr>
        <w:pStyle w:val="0"/>
        <w:spacing w:before="200" w:line-rule="auto"/>
        <w:ind w:firstLine="540"/>
        <w:jc w:val="both"/>
      </w:pPr>
      <w:r>
        <w:rPr>
          <w:sz w:val="20"/>
        </w:rPr>
        <w:t xml:space="preserve">Страхователь вправе повторно,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с заявлением в территориальный орган Фонда по месту своей регистрации.</w:t>
      </w:r>
    </w:p>
    <w:p>
      <w:pPr>
        <w:pStyle w:val="0"/>
        <w:spacing w:before="200" w:line-rule="auto"/>
        <w:ind w:firstLine="540"/>
        <w:jc w:val="both"/>
      </w:pPr>
      <w:r>
        <w:rPr>
          <w:sz w:val="20"/>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history="0" w:anchor="P56" w:tooltip="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
        <w:r>
          <w:rPr>
            <w:sz w:val="20"/>
            <w:color w:val="0000ff"/>
          </w:rPr>
          <w:t xml:space="preserve">пунктом 2</w:t>
        </w:r>
      </w:hyperlink>
      <w:r>
        <w:rPr>
          <w:sz w:val="20"/>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bookmarkStart w:id="269" w:name="P269"/>
    <w:bookmarkEnd w:id="269"/>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для обоснования предупредительных мер, по которым в план финансового обеспечения вносятся изменения.</w:t>
      </w:r>
    </w:p>
    <w:p>
      <w:pPr>
        <w:pStyle w:val="0"/>
        <w:spacing w:before="200" w:line-rule="auto"/>
        <w:ind w:firstLine="540"/>
        <w:jc w:val="both"/>
      </w:pPr>
      <w:r>
        <w:rPr>
          <w:sz w:val="20"/>
        </w:rPr>
        <w:t xml:space="preserve">Страхователь имеет право в срок, установленный </w:t>
      </w:r>
      <w:hyperlink w:history="0" w:anchor="P269" w:tooltip="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
        <w:r>
          <w:rPr>
            <w:sz w:val="20"/>
            <w:color w:val="0000ff"/>
          </w:rPr>
          <w:t xml:space="preserve">абзацем первым</w:t>
        </w:r>
      </w:hyperlink>
      <w:r>
        <w:rPr>
          <w:sz w:val="20"/>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history="0" w:anchor="P60" w:tooltip="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
        <w:r>
          <w:rPr>
            <w:sz w:val="20"/>
            <w:color w:val="0000ff"/>
          </w:rPr>
          <w:t xml:space="preserve">абзацем четвертым пункта 2</w:t>
        </w:r>
      </w:hyperlink>
      <w:r>
        <w:rPr>
          <w:sz w:val="20"/>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history="0" w:anchor="P156" w:tooltip="д) в случае включения в план финансового обеспечения предупредительных мер, предусмотренных подпунктами &quot;д&quot; и &quot;н&quot; пункта 3 Правил:">
        <w:r>
          <w:rPr>
            <w:sz w:val="20"/>
            <w:color w:val="0000ff"/>
          </w:rPr>
          <w:t xml:space="preserve">подпунктом "д" пункта 6</w:t>
        </w:r>
      </w:hyperlink>
      <w:r>
        <w:rPr>
          <w:sz w:val="20"/>
        </w:rPr>
        <w:t xml:space="preserve"> Правил.</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history="0" w:anchor="P254" w:tooltip="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
        <w:r>
          <w:rPr>
            <w:sz w:val="20"/>
            <w:color w:val="0000ff"/>
          </w:rPr>
          <w:t xml:space="preserve">пунктом 10</w:t>
        </w:r>
      </w:hyperlink>
      <w:r>
        <w:rPr>
          <w:sz w:val="20"/>
        </w:rPr>
        <w:t xml:space="preserve"> Правил.</w:t>
      </w:r>
    </w:p>
    <w:p>
      <w:pPr>
        <w:pStyle w:val="0"/>
        <w:jc w:val="both"/>
      </w:pPr>
      <w:r>
        <w:rPr>
          <w:sz w:val="20"/>
        </w:rPr>
        <w:t xml:space="preserve">(п. 14 в ред. </w:t>
      </w:r>
      <w:hyperlink w:history="0" r:id="rId12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pPr>
        <w:pStyle w:val="0"/>
        <w:spacing w:before="200" w:line-rule="auto"/>
        <w:ind w:firstLine="540"/>
        <w:jc w:val="both"/>
      </w:pPr>
      <w:r>
        <w:rPr>
          <w:sz w:val="20"/>
        </w:rPr>
        <w:t xml:space="preserve">16. Страхователь ведет в установленном порядке учет средств, направленных на финансовое обеспечение предупредительных мер.</w:t>
      </w:r>
    </w:p>
    <w:p>
      <w:pPr>
        <w:pStyle w:val="0"/>
        <w:jc w:val="both"/>
      </w:pPr>
      <w:r>
        <w:rPr>
          <w:sz w:val="20"/>
        </w:rPr>
        <w:t xml:space="preserve">(в ред. </w:t>
      </w:r>
      <w:hyperlink w:history="0" r:id="rId12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17. После выполнения предупредительных мер, предусмотренных </w:t>
      </w:r>
      <w:hyperlink w:history="0" w:anchor="P306" w:tooltip="ПЛАН">
        <w:r>
          <w:rPr>
            <w:sz w:val="20"/>
            <w:color w:val="0000ff"/>
          </w:rPr>
          <w:t xml:space="preserve">планом</w:t>
        </w:r>
      </w:hyperlink>
      <w:r>
        <w:rPr>
          <w:sz w:val="20"/>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pPr>
        <w:pStyle w:val="0"/>
        <w:jc w:val="both"/>
      </w:pPr>
      <w:r>
        <w:rPr>
          <w:sz w:val="20"/>
        </w:rPr>
        <w:t xml:space="preserve">(в ред. </w:t>
      </w:r>
      <w:hyperlink w:history="0" r:id="rId12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pPr>
        <w:pStyle w:val="0"/>
        <w:spacing w:before="200" w:line-rule="auto"/>
        <w:ind w:firstLine="540"/>
        <w:jc w:val="both"/>
      </w:pPr>
      <w:r>
        <w:rPr>
          <w:sz w:val="20"/>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pPr>
        <w:pStyle w:val="0"/>
        <w:spacing w:before="200" w:line-rule="auto"/>
        <w:ind w:firstLine="540"/>
        <w:jc w:val="both"/>
      </w:pPr>
      <w:r>
        <w:rPr>
          <w:sz w:val="20"/>
        </w:rP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pPr>
        <w:pStyle w:val="0"/>
        <w:spacing w:before="200" w:line-rule="auto"/>
        <w:ind w:firstLine="540"/>
        <w:jc w:val="both"/>
      </w:pPr>
      <w:r>
        <w:rPr>
          <w:sz w:val="20"/>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финансового обеспечения</w:t>
      </w:r>
    </w:p>
    <w:p>
      <w:pPr>
        <w:pStyle w:val="0"/>
        <w:jc w:val="right"/>
      </w:pPr>
      <w:r>
        <w:rPr>
          <w:sz w:val="20"/>
        </w:rPr>
        <w:t xml:space="preserve">предупредительных мер по сокращению</w:t>
      </w:r>
    </w:p>
    <w:p>
      <w:pPr>
        <w:pStyle w:val="0"/>
        <w:jc w:val="right"/>
      </w:pPr>
      <w:r>
        <w:rPr>
          <w:sz w:val="20"/>
        </w:rPr>
        <w:t xml:space="preserve">производственного травматизма</w:t>
      </w:r>
    </w:p>
    <w:p>
      <w:pPr>
        <w:pStyle w:val="0"/>
        <w:jc w:val="right"/>
      </w:pPr>
      <w:r>
        <w:rPr>
          <w:sz w:val="20"/>
        </w:rPr>
        <w:t xml:space="preserve">и профессиональных заболеваний</w:t>
      </w:r>
    </w:p>
    <w:p>
      <w:pPr>
        <w:pStyle w:val="0"/>
        <w:jc w:val="right"/>
      </w:pPr>
      <w:r>
        <w:rPr>
          <w:sz w:val="20"/>
        </w:rPr>
        <w:t xml:space="preserve">работников и санаторно-курортного</w:t>
      </w:r>
    </w:p>
    <w:p>
      <w:pPr>
        <w:pStyle w:val="0"/>
        <w:jc w:val="right"/>
      </w:pPr>
      <w:r>
        <w:rPr>
          <w:sz w:val="20"/>
        </w:rPr>
        <w:t xml:space="preserve">лечения работников, занятых</w:t>
      </w:r>
    </w:p>
    <w:p>
      <w:pPr>
        <w:pStyle w:val="0"/>
        <w:jc w:val="right"/>
      </w:pPr>
      <w:r>
        <w:rPr>
          <w:sz w:val="20"/>
        </w:rPr>
        <w:t xml:space="preserve">на работах с вредными и (или) опасными</w:t>
      </w:r>
    </w:p>
    <w:p>
      <w:pPr>
        <w:pStyle w:val="0"/>
        <w:jc w:val="right"/>
      </w:pPr>
      <w:r>
        <w:rPr>
          <w:sz w:val="20"/>
        </w:rPr>
        <w:t xml:space="preserve">производственными факторами,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31.05.2022 </w:t>
            </w:r>
            <w:hyperlink w:history="0" r:id="rId13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p>
            <w:pPr>
              <w:pStyle w:val="0"/>
              <w:jc w:val="center"/>
            </w:pPr>
            <w:r>
              <w:rPr>
                <w:sz w:val="20"/>
                <w:color w:val="392c69"/>
              </w:rPr>
              <w:t xml:space="preserve">от 15.12.2022 </w:t>
            </w:r>
            <w:hyperlink w:history="0" r:id="rId13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1430"/>
        <w:gridCol w:w="6288"/>
        <w:gridCol w:w="1353"/>
      </w:tblGrid>
      <w:tr>
        <w:tc>
          <w:tcPr>
            <w:gridSpan w:val="3"/>
            <w:tcW w:w="9071" w:type="dxa"/>
            <w:tcBorders>
              <w:top w:val="nil"/>
              <w:left w:val="nil"/>
              <w:bottom w:val="nil"/>
              <w:right w:val="nil"/>
            </w:tcBorders>
          </w:tcPr>
          <w:bookmarkStart w:id="306" w:name="P306"/>
          <w:bookmarkEnd w:id="306"/>
          <w:p>
            <w:pPr>
              <w:pStyle w:val="0"/>
              <w:jc w:val="center"/>
            </w:pPr>
            <w:r>
              <w:rPr>
                <w:sz w:val="20"/>
              </w:rPr>
              <w:t xml:space="preserve">ПЛАН</w:t>
            </w:r>
          </w:p>
          <w:p>
            <w:pPr>
              <w:pStyle w:val="0"/>
              <w:jc w:val="center"/>
            </w:pPr>
            <w:r>
              <w:rPr>
                <w:sz w:val="20"/>
              </w:rP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tc>
          <w:tcPr>
            <w:tcW w:w="1430" w:type="dxa"/>
            <w:tcBorders>
              <w:top w:val="nil"/>
              <w:left w:val="nil"/>
              <w:bottom w:val="nil"/>
              <w:right w:val="nil"/>
            </w:tcBorders>
          </w:tcPr>
          <w:p>
            <w:pPr>
              <w:pStyle w:val="0"/>
            </w:pPr>
            <w:r>
              <w:rPr>
                <w:sz w:val="20"/>
              </w:rPr>
            </w:r>
          </w:p>
        </w:tc>
        <w:tc>
          <w:tcPr>
            <w:tcW w:w="6288" w:type="dxa"/>
            <w:tcBorders>
              <w:top w:val="nil"/>
              <w:left w:val="nil"/>
              <w:bottom w:val="single" w:sz="4"/>
              <w:right w:val="nil"/>
            </w:tcBorders>
          </w:tcPr>
          <w:p>
            <w:pPr>
              <w:pStyle w:val="0"/>
            </w:pPr>
            <w:r>
              <w:rPr>
                <w:sz w:val="20"/>
              </w:rPr>
            </w:r>
          </w:p>
        </w:tc>
        <w:tc>
          <w:tcPr>
            <w:tcW w:w="1353" w:type="dxa"/>
            <w:tcBorders>
              <w:top w:val="nil"/>
              <w:left w:val="nil"/>
              <w:bottom w:val="nil"/>
              <w:right w:val="nil"/>
            </w:tcBorders>
          </w:tcPr>
          <w:p>
            <w:pPr>
              <w:pStyle w:val="0"/>
            </w:pPr>
            <w:r>
              <w:rPr>
                <w:sz w:val="20"/>
              </w:rPr>
            </w:r>
          </w:p>
        </w:tc>
      </w:tr>
      <w:tr>
        <w:tc>
          <w:tcPr>
            <w:tcW w:w="1430" w:type="dxa"/>
            <w:tcBorders>
              <w:top w:val="nil"/>
              <w:left w:val="nil"/>
              <w:bottom w:val="nil"/>
              <w:right w:val="nil"/>
            </w:tcBorders>
          </w:tcPr>
          <w:p>
            <w:pPr>
              <w:pStyle w:val="0"/>
            </w:pPr>
            <w:r>
              <w:rPr>
                <w:sz w:val="20"/>
              </w:rPr>
            </w:r>
          </w:p>
        </w:tc>
        <w:tc>
          <w:tcPr>
            <w:tcW w:w="6288" w:type="dxa"/>
            <w:tcBorders>
              <w:top w:val="single" w:sz="4"/>
              <w:left w:val="nil"/>
              <w:bottom w:val="nil"/>
              <w:right w:val="nil"/>
            </w:tcBorders>
          </w:tcPr>
          <w:p>
            <w:pPr>
              <w:pStyle w:val="0"/>
              <w:jc w:val="center"/>
            </w:pPr>
            <w:r>
              <w:rPr>
                <w:sz w:val="20"/>
              </w:rPr>
              <w:t xml:space="preserve">(наименование страхователя)</w:t>
            </w:r>
          </w:p>
        </w:tc>
        <w:tc>
          <w:tcPr>
            <w:tcW w:w="135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2778"/>
        <w:gridCol w:w="1020"/>
        <w:gridCol w:w="1020"/>
        <w:gridCol w:w="964"/>
        <w:gridCol w:w="170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предупредительных мер</w:t>
            </w:r>
          </w:p>
        </w:tc>
        <w:tc>
          <w:tcPr>
            <w:tcW w:w="2778" w:type="dxa"/>
            <w:vMerge w:val="restart"/>
          </w:tcPr>
          <w:p>
            <w:pPr>
              <w:pStyle w:val="0"/>
              <w:jc w:val="center"/>
            </w:pPr>
            <w:r>
              <w:rPr>
                <w:sz w:val="20"/>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pPr>
              <w:pStyle w:val="0"/>
              <w:jc w:val="center"/>
            </w:pPr>
            <w:r>
              <w:rPr>
                <w:sz w:val="20"/>
              </w:rPr>
              <w:t xml:space="preserve">Срок исполнения</w:t>
            </w:r>
          </w:p>
        </w:tc>
        <w:tc>
          <w:tcPr>
            <w:tcW w:w="1020" w:type="dxa"/>
            <w:vMerge w:val="restart"/>
          </w:tcPr>
          <w:p>
            <w:pPr>
              <w:pStyle w:val="0"/>
              <w:jc w:val="center"/>
            </w:pPr>
            <w:r>
              <w:rPr>
                <w:sz w:val="20"/>
              </w:rPr>
              <w:t xml:space="preserve">Единицы измерения</w:t>
            </w:r>
          </w:p>
        </w:tc>
        <w:tc>
          <w:tcPr>
            <w:tcW w:w="964" w:type="dxa"/>
            <w:vMerge w:val="restart"/>
          </w:tcPr>
          <w:p>
            <w:pPr>
              <w:pStyle w:val="0"/>
              <w:jc w:val="center"/>
            </w:pPr>
            <w:r>
              <w:rPr>
                <w:sz w:val="20"/>
              </w:rPr>
              <w:t xml:space="preserve">Количество</w:t>
            </w:r>
          </w:p>
        </w:tc>
        <w:tc>
          <w:tcPr>
            <w:tcW w:w="1701" w:type="dxa"/>
          </w:tcPr>
          <w:p>
            <w:pPr>
              <w:pStyle w:val="0"/>
              <w:jc w:val="center"/>
            </w:pPr>
            <w:r>
              <w:rPr>
                <w:sz w:val="20"/>
              </w:rPr>
              <w:t xml:space="preserve">Планируемые расходы,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всего</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2778"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01" w:type="dxa"/>
          </w:tcPr>
          <w:p>
            <w:pPr>
              <w:pStyle w:val="0"/>
              <w:jc w:val="center"/>
            </w:pPr>
            <w:r>
              <w:rPr>
                <w:sz w:val="20"/>
              </w:rPr>
              <w:t xml:space="preserve">7</w:t>
            </w:r>
          </w:p>
        </w:tc>
      </w:tr>
      <w:tr>
        <w:tc>
          <w:tcPr>
            <w:tcW w:w="510" w:type="dxa"/>
          </w:tcPr>
          <w:p>
            <w:pPr>
              <w:pStyle w:val="0"/>
            </w:pPr>
            <w:r>
              <w:rPr>
                <w:sz w:val="20"/>
              </w:rPr>
            </w:r>
          </w:p>
        </w:tc>
        <w:tc>
          <w:tcPr>
            <w:tcW w:w="1077" w:type="dxa"/>
          </w:tcPr>
          <w:p>
            <w:pPr>
              <w:pStyle w:val="0"/>
            </w:pPr>
            <w:r>
              <w:rPr>
                <w:sz w:val="20"/>
              </w:rPr>
            </w:r>
          </w:p>
        </w:tc>
        <w:tc>
          <w:tcPr>
            <w:tcW w:w="2778"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340"/>
        <w:gridCol w:w="1247"/>
        <w:gridCol w:w="341"/>
        <w:gridCol w:w="3285"/>
      </w:tblGrid>
      <w:tr>
        <w:tc>
          <w:tcPr>
            <w:tcW w:w="3855"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Главный бухгалтер (при наличии)</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ind w:left="283"/>
            </w:pPr>
            <w:r>
              <w:rPr>
                <w:sz w:val="20"/>
              </w:rPr>
              <w:t xml:space="preserve">"__" _________ 20__ год</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Управляющий</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single" w:sz="4"/>
              <w:left w:val="nil"/>
              <w:bottom w:val="nil"/>
              <w:right w:val="nil"/>
            </w:tcBorders>
          </w:tcPr>
          <w:p>
            <w:pPr>
              <w:pStyle w:val="0"/>
              <w:jc w:val="center"/>
            </w:pPr>
            <w:r>
              <w:rPr>
                <w:sz w:val="20"/>
              </w:rPr>
              <w:t xml:space="preserve">(наименование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"__" _________ 20__ год</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14.07.2021 N 467н</w:t>
            <w:br/>
            <w:t>(ред. от 27.02.2023)</w:t>
            <w:br/>
            <w:t>"Об утверждении Правил финансового обеспечения предупре...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9725&amp;dst=100006" TargetMode = "External"/>
	<Relationship Id="rId8" Type="http://schemas.openxmlformats.org/officeDocument/2006/relationships/hyperlink" Target="https://login.consultant.ru/link/?req=doc&amp;base=LAW&amp;n=422367&amp;dst=100006" TargetMode = "External"/>
	<Relationship Id="rId9" Type="http://schemas.openxmlformats.org/officeDocument/2006/relationships/hyperlink" Target="https://login.consultant.ru/link/?req=doc&amp;base=LAW&amp;n=440783&amp;dst=100279" TargetMode = "External"/>
	<Relationship Id="rId10" Type="http://schemas.openxmlformats.org/officeDocument/2006/relationships/hyperlink" Target="https://login.consultant.ru/link/?req=doc&amp;base=LAW&amp;n=451093&amp;dst=100006" TargetMode = "External"/>
	<Relationship Id="rId11" Type="http://schemas.openxmlformats.org/officeDocument/2006/relationships/hyperlink" Target="https://login.consultant.ru/link/?req=doc&amp;base=LAW&amp;n=451734&amp;dst=191" TargetMode = "External"/>
	<Relationship Id="rId12" Type="http://schemas.openxmlformats.org/officeDocument/2006/relationships/hyperlink" Target="https://login.consultant.ru/link/?req=doc&amp;base=LAW&amp;n=439950&amp;dst=100053" TargetMode = "External"/>
	<Relationship Id="rId13" Type="http://schemas.openxmlformats.org/officeDocument/2006/relationships/hyperlink" Target="https://login.consultant.ru/link/?req=doc&amp;base=LAW&amp;n=373845" TargetMode = "External"/>
	<Relationship Id="rId14" Type="http://schemas.openxmlformats.org/officeDocument/2006/relationships/hyperlink" Target="https://login.consultant.ru/link/?req=doc&amp;base=LAW&amp;n=148737" TargetMode = "External"/>
	<Relationship Id="rId15" Type="http://schemas.openxmlformats.org/officeDocument/2006/relationships/hyperlink" Target="https://login.consultant.ru/link/?req=doc&amp;base=LAW&amp;n=359557&amp;dst=100137" TargetMode = "External"/>
	<Relationship Id="rId16" Type="http://schemas.openxmlformats.org/officeDocument/2006/relationships/hyperlink" Target="https://login.consultant.ru/link/?req=doc&amp;base=LAW&amp;n=202556" TargetMode = "External"/>
	<Relationship Id="rId17" Type="http://schemas.openxmlformats.org/officeDocument/2006/relationships/hyperlink" Target="https://login.consultant.ru/link/?req=doc&amp;base=LAW&amp;n=202964" TargetMode = "External"/>
	<Relationship Id="rId18" Type="http://schemas.openxmlformats.org/officeDocument/2006/relationships/hyperlink" Target="https://login.consultant.ru/link/?req=doc&amp;base=LAW&amp;n=286109" TargetMode = "External"/>
	<Relationship Id="rId19" Type="http://schemas.openxmlformats.org/officeDocument/2006/relationships/hyperlink" Target="https://login.consultant.ru/link/?req=doc&amp;base=LAW&amp;n=307412" TargetMode = "External"/>
	<Relationship Id="rId20" Type="http://schemas.openxmlformats.org/officeDocument/2006/relationships/hyperlink" Target="https://login.consultant.ru/link/?req=doc&amp;base=LAW&amp;n=316087" TargetMode = "External"/>
	<Relationship Id="rId21" Type="http://schemas.openxmlformats.org/officeDocument/2006/relationships/hyperlink" Target="https://login.consultant.ru/link/?req=doc&amp;base=LAW&amp;n=440783&amp;dst=100280" TargetMode = "External"/>
	<Relationship Id="rId22" Type="http://schemas.openxmlformats.org/officeDocument/2006/relationships/hyperlink" Target="https://login.consultant.ru/link/?req=doc&amp;base=LAW&amp;n=419725&amp;dst=100006" TargetMode = "External"/>
	<Relationship Id="rId23" Type="http://schemas.openxmlformats.org/officeDocument/2006/relationships/hyperlink" Target="https://login.consultant.ru/link/?req=doc&amp;base=LAW&amp;n=422367&amp;dst=100006" TargetMode = "External"/>
	<Relationship Id="rId24" Type="http://schemas.openxmlformats.org/officeDocument/2006/relationships/hyperlink" Target="https://login.consultant.ru/link/?req=doc&amp;base=LAW&amp;n=440783&amp;dst=100281" TargetMode = "External"/>
	<Relationship Id="rId25" Type="http://schemas.openxmlformats.org/officeDocument/2006/relationships/hyperlink" Target="https://login.consultant.ru/link/?req=doc&amp;base=LAW&amp;n=451093&amp;dst=100006" TargetMode = "External"/>
	<Relationship Id="rId26" Type="http://schemas.openxmlformats.org/officeDocument/2006/relationships/hyperlink" Target="https://login.consultant.ru/link/?req=doc&amp;base=LAW&amp;n=440783&amp;dst=100282" TargetMode = "External"/>
	<Relationship Id="rId27" Type="http://schemas.openxmlformats.org/officeDocument/2006/relationships/hyperlink" Target="https://login.consultant.ru/link/?req=doc&amp;base=LAW&amp;n=451734&amp;dst=100077" TargetMode = "External"/>
	<Relationship Id="rId28" Type="http://schemas.openxmlformats.org/officeDocument/2006/relationships/hyperlink" Target="https://login.consultant.ru/link/?req=doc&amp;base=LAW&amp;n=65953" TargetMode = "External"/>
	<Relationship Id="rId29" Type="http://schemas.openxmlformats.org/officeDocument/2006/relationships/hyperlink" Target="https://login.consultant.ru/link/?req=doc&amp;base=LAW&amp;n=65953" TargetMode = "External"/>
	<Relationship Id="rId30" Type="http://schemas.openxmlformats.org/officeDocument/2006/relationships/hyperlink" Target="https://login.consultant.ru/link/?req=doc&amp;base=LAW&amp;n=448202&amp;dst=88" TargetMode = "External"/>
	<Relationship Id="rId31" Type="http://schemas.openxmlformats.org/officeDocument/2006/relationships/hyperlink" Target="https://login.consultant.ru/link/?req=doc&amp;base=LAW&amp;n=439764&amp;dst=100123" TargetMode = "External"/>
	<Relationship Id="rId32" Type="http://schemas.openxmlformats.org/officeDocument/2006/relationships/hyperlink" Target="https://login.consultant.ru/link/?req=doc&amp;base=LAW&amp;n=439764&amp;dst=100132" TargetMode = "External"/>
	<Relationship Id="rId33" Type="http://schemas.openxmlformats.org/officeDocument/2006/relationships/hyperlink" Target="https://login.consultant.ru/link/?req=doc&amp;base=LAW&amp;n=451093&amp;dst=100011" TargetMode = "External"/>
	<Relationship Id="rId34" Type="http://schemas.openxmlformats.org/officeDocument/2006/relationships/hyperlink" Target="https://login.consultant.ru/link/?req=doc&amp;base=LAW&amp;n=464875&amp;dst=2755" TargetMode = "External"/>
	<Relationship Id="rId35" Type="http://schemas.openxmlformats.org/officeDocument/2006/relationships/hyperlink" Target="https://login.consultant.ru/link/?req=doc&amp;base=LAW&amp;n=464875&amp;dst=2759" TargetMode = "External"/>
	<Relationship Id="rId36" Type="http://schemas.openxmlformats.org/officeDocument/2006/relationships/hyperlink" Target="https://login.consultant.ru/link/?req=doc&amp;base=LAW&amp;n=442400&amp;dst=334" TargetMode = "External"/>
	<Relationship Id="rId37" Type="http://schemas.openxmlformats.org/officeDocument/2006/relationships/hyperlink" Target="https://login.consultant.ru/link/?req=doc&amp;base=LAW&amp;n=460039&amp;dst=3320" TargetMode = "External"/>
	<Relationship Id="rId38" Type="http://schemas.openxmlformats.org/officeDocument/2006/relationships/hyperlink" Target="https://login.consultant.ru/link/?req=doc&amp;base=LAW&amp;n=460044&amp;dst=342" TargetMode = "External"/>
	<Relationship Id="rId39" Type="http://schemas.openxmlformats.org/officeDocument/2006/relationships/hyperlink" Target="https://login.consultant.ru/link/?req=doc&amp;base=LAW&amp;n=460044&amp;dst=344" TargetMode = "External"/>
	<Relationship Id="rId40" Type="http://schemas.openxmlformats.org/officeDocument/2006/relationships/hyperlink" Target="https://login.consultant.ru/link/?req=doc&amp;base=LAW&amp;n=420533&amp;dst=201" TargetMode = "External"/>
	<Relationship Id="rId41" Type="http://schemas.openxmlformats.org/officeDocument/2006/relationships/hyperlink" Target="https://login.consultant.ru/link/?req=doc&amp;base=LAW&amp;n=420533&amp;dst=202" TargetMode = "External"/>
	<Relationship Id="rId42" Type="http://schemas.openxmlformats.org/officeDocument/2006/relationships/hyperlink" Target="https://login.consultant.ru/link/?req=doc&amp;base=LAW&amp;n=465515&amp;dst=100173" TargetMode = "External"/>
	<Relationship Id="rId43" Type="http://schemas.openxmlformats.org/officeDocument/2006/relationships/hyperlink" Target="https://login.consultant.ru/link/?req=doc&amp;base=LAW&amp;n=465515&amp;dst=100175" TargetMode = "External"/>
	<Relationship Id="rId44" Type="http://schemas.openxmlformats.org/officeDocument/2006/relationships/hyperlink" Target="https://login.consultant.ru/link/?req=doc&amp;base=LAW&amp;n=449435&amp;dst=48" TargetMode = "External"/>
	<Relationship Id="rId45" Type="http://schemas.openxmlformats.org/officeDocument/2006/relationships/hyperlink" Target="https://login.consultant.ru/link/?req=doc&amp;base=LAW&amp;n=449435&amp;dst=52" TargetMode = "External"/>
	<Relationship Id="rId46" Type="http://schemas.openxmlformats.org/officeDocument/2006/relationships/hyperlink" Target="https://login.consultant.ru/link/?req=doc&amp;base=LAW&amp;n=451216&amp;dst=101298" TargetMode = "External"/>
	<Relationship Id="rId47" Type="http://schemas.openxmlformats.org/officeDocument/2006/relationships/hyperlink" Target="https://login.consultant.ru/link/?req=doc&amp;base=LAW&amp;n=466112&amp;dst=100294" TargetMode = "External"/>
	<Relationship Id="rId48" Type="http://schemas.openxmlformats.org/officeDocument/2006/relationships/hyperlink" Target="https://login.consultant.ru/link/?req=doc&amp;base=LAW&amp;n=466112&amp;dst=183" TargetMode = "External"/>
	<Relationship Id="rId49" Type="http://schemas.openxmlformats.org/officeDocument/2006/relationships/hyperlink" Target="https://login.consultant.ru/link/?req=doc&amp;base=LAW&amp;n=451093&amp;dst=100023" TargetMode = "External"/>
	<Relationship Id="rId50" Type="http://schemas.openxmlformats.org/officeDocument/2006/relationships/hyperlink" Target="https://login.consultant.ru/link/?req=doc&amp;base=LAW&amp;n=417985&amp;dst=100017" TargetMode = "External"/>
	<Relationship Id="rId51" Type="http://schemas.openxmlformats.org/officeDocument/2006/relationships/hyperlink" Target="https://login.consultant.ru/link/?req=doc&amp;base=LAW&amp;n=451093&amp;dst=100025" TargetMode = "External"/>
	<Relationship Id="rId52" Type="http://schemas.openxmlformats.org/officeDocument/2006/relationships/hyperlink" Target="https://login.consultant.ru/link/?req=doc&amp;base=LAW&amp;n=369066" TargetMode = "External"/>
	<Relationship Id="rId53" Type="http://schemas.openxmlformats.org/officeDocument/2006/relationships/hyperlink" Target="https://login.consultant.ru/link/?req=doc&amp;base=LAW&amp;n=445479" TargetMode = "External"/>
	<Relationship Id="rId54" Type="http://schemas.openxmlformats.org/officeDocument/2006/relationships/hyperlink" Target="https://login.consultant.ru/link/?req=doc&amp;base=LAW&amp;n=123807" TargetMode = "External"/>
	<Relationship Id="rId55" Type="http://schemas.openxmlformats.org/officeDocument/2006/relationships/hyperlink" Target="https://login.consultant.ru/link/?req=doc&amp;base=LAW&amp;n=443776" TargetMode = "External"/>
	<Relationship Id="rId56" Type="http://schemas.openxmlformats.org/officeDocument/2006/relationships/hyperlink" Target="https://login.consultant.ru/link/?req=doc&amp;base=LAW&amp;n=169401" TargetMode = "External"/>
	<Relationship Id="rId57" Type="http://schemas.openxmlformats.org/officeDocument/2006/relationships/hyperlink" Target="https://login.consultant.ru/link/?req=doc&amp;base=LAW&amp;n=443776" TargetMode = "External"/>
	<Relationship Id="rId58" Type="http://schemas.openxmlformats.org/officeDocument/2006/relationships/hyperlink" Target="https://login.consultant.ru/link/?req=doc&amp;base=LAW&amp;n=451093&amp;dst=100027" TargetMode = "External"/>
	<Relationship Id="rId59" Type="http://schemas.openxmlformats.org/officeDocument/2006/relationships/hyperlink" Target="https://login.consultant.ru/link/?req=doc&amp;base=LAW&amp;n=451093&amp;dst=100028" TargetMode = "External"/>
	<Relationship Id="rId60" Type="http://schemas.openxmlformats.org/officeDocument/2006/relationships/hyperlink" Target="https://login.consultant.ru/link/?req=doc&amp;base=LAW&amp;n=443750&amp;dst=100008" TargetMode = "External"/>
	<Relationship Id="rId61" Type="http://schemas.openxmlformats.org/officeDocument/2006/relationships/hyperlink" Target="https://login.consultant.ru/link/?req=doc&amp;base=LAW&amp;n=419725&amp;dst=100011" TargetMode = "External"/>
	<Relationship Id="rId62" Type="http://schemas.openxmlformats.org/officeDocument/2006/relationships/hyperlink" Target="https://login.consultant.ru/link/?req=doc&amp;base=LAW&amp;n=417984&amp;dst=100017" TargetMode = "External"/>
	<Relationship Id="rId63" Type="http://schemas.openxmlformats.org/officeDocument/2006/relationships/hyperlink" Target="https://login.consultant.ru/link/?req=doc&amp;base=LAW&amp;n=451093&amp;dst=100029" TargetMode = "External"/>
	<Relationship Id="rId64" Type="http://schemas.openxmlformats.org/officeDocument/2006/relationships/hyperlink" Target="https://login.consultant.ru/link/?req=doc&amp;base=LAW&amp;n=451093&amp;dst=100031" TargetMode = "External"/>
	<Relationship Id="rId65" Type="http://schemas.openxmlformats.org/officeDocument/2006/relationships/hyperlink" Target="https://login.consultant.ru/link/?req=doc&amp;base=LAW&amp;n=451734&amp;dst=235" TargetMode = "External"/>
	<Relationship Id="rId66" Type="http://schemas.openxmlformats.org/officeDocument/2006/relationships/hyperlink" Target="https://login.consultant.ru/link/?req=doc&amp;base=LAW&amp;n=331427&amp;dst=100426" TargetMode = "External"/>
	<Relationship Id="rId67" Type="http://schemas.openxmlformats.org/officeDocument/2006/relationships/hyperlink" Target="https://login.consultant.ru/link/?req=doc&amp;base=LAW&amp;n=422367&amp;dst=100012" TargetMode = "External"/>
	<Relationship Id="rId68" Type="http://schemas.openxmlformats.org/officeDocument/2006/relationships/hyperlink" Target="https://login.consultant.ru/link/?req=doc&amp;base=LAW&amp;n=422367&amp;dst=100013" TargetMode = "External"/>
	<Relationship Id="rId69" Type="http://schemas.openxmlformats.org/officeDocument/2006/relationships/hyperlink" Target="https://login.consultant.ru/link/?req=doc&amp;base=LAW&amp;n=451093&amp;dst=100032" TargetMode = "External"/>
	<Relationship Id="rId70" Type="http://schemas.openxmlformats.org/officeDocument/2006/relationships/hyperlink" Target="https://login.consultant.ru/link/?req=doc&amp;base=LAW&amp;n=451093&amp;dst=100035" TargetMode = "External"/>
	<Relationship Id="rId71" Type="http://schemas.openxmlformats.org/officeDocument/2006/relationships/hyperlink" Target="https://login.consultant.ru/link/?req=doc&amp;base=LAW&amp;n=451093&amp;dst=100036" TargetMode = "External"/>
	<Relationship Id="rId72" Type="http://schemas.openxmlformats.org/officeDocument/2006/relationships/hyperlink" Target="https://login.consultant.ru/link/?req=doc&amp;base=LAW&amp;n=451093&amp;dst=100038" TargetMode = "External"/>
	<Relationship Id="rId73" Type="http://schemas.openxmlformats.org/officeDocument/2006/relationships/hyperlink" Target="https://login.consultant.ru/link/?req=doc&amp;base=LAW&amp;n=451093&amp;dst=100042" TargetMode = "External"/>
	<Relationship Id="rId74" Type="http://schemas.openxmlformats.org/officeDocument/2006/relationships/hyperlink" Target="https://login.consultant.ru/link/?req=doc&amp;base=LAW&amp;n=451093&amp;dst=100040" TargetMode = "External"/>
	<Relationship Id="rId75" Type="http://schemas.openxmlformats.org/officeDocument/2006/relationships/hyperlink" Target="https://login.consultant.ru/link/?req=doc&amp;base=LAW&amp;n=404296" TargetMode = "External"/>
	<Relationship Id="rId76" Type="http://schemas.openxmlformats.org/officeDocument/2006/relationships/hyperlink" Target="https://login.consultant.ru/link/?req=doc&amp;base=LAW&amp;n=451093&amp;dst=100043" TargetMode = "External"/>
	<Relationship Id="rId77" Type="http://schemas.openxmlformats.org/officeDocument/2006/relationships/hyperlink" Target="https://login.consultant.ru/link/?req=doc&amp;base=LAW&amp;n=347441&amp;dst=100027" TargetMode = "External"/>
	<Relationship Id="rId78" Type="http://schemas.openxmlformats.org/officeDocument/2006/relationships/hyperlink" Target="https://login.consultant.ru/link/?req=doc&amp;base=LAW&amp;n=451093&amp;dst=100057" TargetMode = "External"/>
	<Relationship Id="rId79" Type="http://schemas.openxmlformats.org/officeDocument/2006/relationships/hyperlink" Target="https://login.consultant.ru/link/?req=doc&amp;base=LAW&amp;n=123807" TargetMode = "External"/>
	<Relationship Id="rId80" Type="http://schemas.openxmlformats.org/officeDocument/2006/relationships/hyperlink" Target="https://login.consultant.ru/link/?req=doc&amp;base=LAW&amp;n=443776" TargetMode = "External"/>
	<Relationship Id="rId81" Type="http://schemas.openxmlformats.org/officeDocument/2006/relationships/hyperlink" Target="https://login.consultant.ru/link/?req=doc&amp;base=LAW&amp;n=169401" TargetMode = "External"/>
	<Relationship Id="rId82" Type="http://schemas.openxmlformats.org/officeDocument/2006/relationships/hyperlink" Target="https://login.consultant.ru/link/?req=doc&amp;base=LAW&amp;n=443776" TargetMode = "External"/>
	<Relationship Id="rId83" Type="http://schemas.openxmlformats.org/officeDocument/2006/relationships/hyperlink" Target="https://login.consultant.ru/link/?req=doc&amp;base=LAW&amp;n=451093&amp;dst=100058" TargetMode = "External"/>
	<Relationship Id="rId84" Type="http://schemas.openxmlformats.org/officeDocument/2006/relationships/hyperlink" Target="https://login.consultant.ru/link/?req=doc&amp;base=LAW&amp;n=451093&amp;dst=100060" TargetMode = "External"/>
	<Relationship Id="rId85" Type="http://schemas.openxmlformats.org/officeDocument/2006/relationships/hyperlink" Target="https://login.consultant.ru/link/?req=doc&amp;base=LAW&amp;n=451093&amp;dst=100061" TargetMode = "External"/>
	<Relationship Id="rId86" Type="http://schemas.openxmlformats.org/officeDocument/2006/relationships/hyperlink" Target="https://login.consultant.ru/link/?req=doc&amp;base=LAW&amp;n=464850&amp;dst=33" TargetMode = "External"/>
	<Relationship Id="rId87" Type="http://schemas.openxmlformats.org/officeDocument/2006/relationships/hyperlink" Target="https://login.consultant.ru/link/?req=doc&amp;base=LAW&amp;n=451093&amp;dst=100063" TargetMode = "External"/>
	<Relationship Id="rId88" Type="http://schemas.openxmlformats.org/officeDocument/2006/relationships/hyperlink" Target="https://login.consultant.ru/link/?req=doc&amp;base=LAW&amp;n=451093&amp;dst=100064" TargetMode = "External"/>
	<Relationship Id="rId89" Type="http://schemas.openxmlformats.org/officeDocument/2006/relationships/hyperlink" Target="https://login.consultant.ru/link/?req=doc&amp;base=LAW&amp;n=422367&amp;dst=100018" TargetMode = "External"/>
	<Relationship Id="rId90" Type="http://schemas.openxmlformats.org/officeDocument/2006/relationships/hyperlink" Target="https://login.consultant.ru/link/?req=doc&amp;base=LAW&amp;n=369436&amp;dst=100712" TargetMode = "External"/>
	<Relationship Id="rId91" Type="http://schemas.openxmlformats.org/officeDocument/2006/relationships/hyperlink" Target="https://login.consultant.ru/link/?req=doc&amp;base=LAW&amp;n=369436" TargetMode = "External"/>
	<Relationship Id="rId92" Type="http://schemas.openxmlformats.org/officeDocument/2006/relationships/hyperlink" Target="https://login.consultant.ru/link/?req=doc&amp;base=LAW&amp;n=369436&amp;dst=100712" TargetMode = "External"/>
	<Relationship Id="rId93" Type="http://schemas.openxmlformats.org/officeDocument/2006/relationships/hyperlink" Target="https://login.consultant.ru/link/?req=doc&amp;base=LAW&amp;n=422367&amp;dst=100018" TargetMode = "External"/>
	<Relationship Id="rId94" Type="http://schemas.openxmlformats.org/officeDocument/2006/relationships/hyperlink" Target="https://login.consultant.ru/link/?req=doc&amp;base=LAW&amp;n=451093&amp;dst=100066" TargetMode = "External"/>
	<Relationship Id="rId95" Type="http://schemas.openxmlformats.org/officeDocument/2006/relationships/hyperlink" Target="https://login.consultant.ru/link/?req=doc&amp;base=LAW&amp;n=409057" TargetMode = "External"/>
	<Relationship Id="rId96" Type="http://schemas.openxmlformats.org/officeDocument/2006/relationships/hyperlink" Target="https://login.consultant.ru/link/?req=doc&amp;base=LAW&amp;n=375352" TargetMode = "External"/>
	<Relationship Id="rId97" Type="http://schemas.openxmlformats.org/officeDocument/2006/relationships/hyperlink" Target="https://login.consultant.ru/link/?req=doc&amp;base=LAW&amp;n=451093&amp;dst=100067" TargetMode = "External"/>
	<Relationship Id="rId98" Type="http://schemas.openxmlformats.org/officeDocument/2006/relationships/hyperlink" Target="https://login.consultant.ru/link/?req=doc&amp;base=LAW&amp;n=422367&amp;dst=100019" TargetMode = "External"/>
	<Relationship Id="rId99" Type="http://schemas.openxmlformats.org/officeDocument/2006/relationships/hyperlink" Target="https://login.consultant.ru/link/?req=doc&amp;base=LAW&amp;n=417985&amp;dst=100017" TargetMode = "External"/>
	<Relationship Id="rId100" Type="http://schemas.openxmlformats.org/officeDocument/2006/relationships/hyperlink" Target="https://login.consultant.ru/link/?req=doc&amp;base=LAW&amp;n=451093&amp;dst=100068" TargetMode = "External"/>
	<Relationship Id="rId101" Type="http://schemas.openxmlformats.org/officeDocument/2006/relationships/hyperlink" Target="https://login.consultant.ru/link/?req=doc&amp;base=LAW&amp;n=422367&amp;dst=100020" TargetMode = "External"/>
	<Relationship Id="rId102" Type="http://schemas.openxmlformats.org/officeDocument/2006/relationships/hyperlink" Target="https://login.consultant.ru/link/?req=doc&amp;base=LAW&amp;n=422367&amp;dst=100022" TargetMode = "External"/>
	<Relationship Id="rId103" Type="http://schemas.openxmlformats.org/officeDocument/2006/relationships/hyperlink" Target="https://login.consultant.ru/link/?req=doc&amp;base=LAW&amp;n=422367&amp;dst=100023" TargetMode = "External"/>
	<Relationship Id="rId104" Type="http://schemas.openxmlformats.org/officeDocument/2006/relationships/hyperlink" Target="https://login.consultant.ru/link/?req=doc&amp;base=LAW&amp;n=422367&amp;dst=100023" TargetMode = "External"/>
	<Relationship Id="rId105" Type="http://schemas.openxmlformats.org/officeDocument/2006/relationships/hyperlink" Target="https://login.consultant.ru/link/?req=doc&amp;base=LAW&amp;n=378982" TargetMode = "External"/>
	<Relationship Id="rId106" Type="http://schemas.openxmlformats.org/officeDocument/2006/relationships/hyperlink" Target="https://login.consultant.ru/link/?req=doc&amp;base=LAW&amp;n=419725&amp;dst=100016" TargetMode = "External"/>
	<Relationship Id="rId107" Type="http://schemas.openxmlformats.org/officeDocument/2006/relationships/hyperlink" Target="https://login.consultant.ru/link/?req=doc&amp;base=LAW&amp;n=451093&amp;dst=100069" TargetMode = "External"/>
	<Relationship Id="rId108" Type="http://schemas.openxmlformats.org/officeDocument/2006/relationships/hyperlink" Target="https://login.consultant.ru/link/?req=doc&amp;base=LAW&amp;n=419725&amp;dst=100017" TargetMode = "External"/>
	<Relationship Id="rId109" Type="http://schemas.openxmlformats.org/officeDocument/2006/relationships/hyperlink" Target="https://login.consultant.ru/link/?req=doc&amp;base=LAW&amp;n=451093&amp;dst=100069" TargetMode = "External"/>
	<Relationship Id="rId110" Type="http://schemas.openxmlformats.org/officeDocument/2006/relationships/hyperlink" Target="https://login.consultant.ru/link/?req=doc&amp;base=LAW&amp;n=422367&amp;dst=100024" TargetMode = "External"/>
	<Relationship Id="rId111" Type="http://schemas.openxmlformats.org/officeDocument/2006/relationships/hyperlink" Target="https://login.consultant.ru/link/?req=doc&amp;base=LAW&amp;n=417984&amp;dst=100017" TargetMode = "External"/>
	<Relationship Id="rId112" Type="http://schemas.openxmlformats.org/officeDocument/2006/relationships/hyperlink" Target="https://login.consultant.ru/link/?req=doc&amp;base=LAW&amp;n=451093&amp;dst=100071" TargetMode = "External"/>
	<Relationship Id="rId113" Type="http://schemas.openxmlformats.org/officeDocument/2006/relationships/hyperlink" Target="https://login.consultant.ru/link/?req=doc&amp;base=LAW&amp;n=360445&amp;dst=103571" TargetMode = "External"/>
	<Relationship Id="rId114" Type="http://schemas.openxmlformats.org/officeDocument/2006/relationships/hyperlink" Target="https://login.consultant.ru/link/?req=doc&amp;base=LAW&amp;n=360445&amp;dst=103600" TargetMode = "External"/>
	<Relationship Id="rId115" Type="http://schemas.openxmlformats.org/officeDocument/2006/relationships/hyperlink" Target="https://login.consultant.ru/link/?req=doc&amp;base=LAW&amp;n=451093&amp;dst=100073" TargetMode = "External"/>
	<Relationship Id="rId116" Type="http://schemas.openxmlformats.org/officeDocument/2006/relationships/hyperlink" Target="https://login.consultant.ru/link/?req=doc&amp;base=LAW&amp;n=451093&amp;dst=100075" TargetMode = "External"/>
	<Relationship Id="rId117" Type="http://schemas.openxmlformats.org/officeDocument/2006/relationships/hyperlink" Target="https://login.consultant.ru/link/?req=doc&amp;base=LAW&amp;n=419725&amp;dst=100019" TargetMode = "External"/>
	<Relationship Id="rId118" Type="http://schemas.openxmlformats.org/officeDocument/2006/relationships/hyperlink" Target="https://login.consultant.ru/link/?req=doc&amp;base=LAW&amp;n=451093&amp;dst=100076" TargetMode = "External"/>
	<Relationship Id="rId119" Type="http://schemas.openxmlformats.org/officeDocument/2006/relationships/hyperlink" Target="https://login.consultant.ru/link/?req=doc&amp;base=LAW&amp;n=360445&amp;dst=103571" TargetMode = "External"/>
	<Relationship Id="rId120" Type="http://schemas.openxmlformats.org/officeDocument/2006/relationships/hyperlink" Target="https://login.consultant.ru/link/?req=doc&amp;base=LAW&amp;n=360445&amp;dst=103600" TargetMode = "External"/>
	<Relationship Id="rId121" Type="http://schemas.openxmlformats.org/officeDocument/2006/relationships/hyperlink" Target="https://login.consultant.ru/link/?req=doc&amp;base=LAW&amp;n=347441&amp;dst=100027" TargetMode = "External"/>
	<Relationship Id="rId122" Type="http://schemas.openxmlformats.org/officeDocument/2006/relationships/hyperlink" Target="https://login.consultant.ru/link/?req=doc&amp;base=LAW&amp;n=451093&amp;dst=100077" TargetMode = "External"/>
	<Relationship Id="rId123" Type="http://schemas.openxmlformats.org/officeDocument/2006/relationships/hyperlink" Target="https://login.consultant.ru/link/?req=doc&amp;base=LAW&amp;n=451093&amp;dst=100095" TargetMode = "External"/>
	<Relationship Id="rId124" Type="http://schemas.openxmlformats.org/officeDocument/2006/relationships/hyperlink" Target="https://login.consultant.ru/link/?req=doc&amp;base=LAW&amp;n=419725&amp;dst=100028" TargetMode = "External"/>
	<Relationship Id="rId125" Type="http://schemas.openxmlformats.org/officeDocument/2006/relationships/hyperlink" Target="https://login.consultant.ru/link/?req=doc&amp;base=LAW&amp;n=419725&amp;dst=100030" TargetMode = "External"/>
	<Relationship Id="rId126" Type="http://schemas.openxmlformats.org/officeDocument/2006/relationships/hyperlink" Target="https://login.consultant.ru/link/?req=doc&amp;base=LAW&amp;n=451093&amp;dst=100097" TargetMode = "External"/>
	<Relationship Id="rId127" Type="http://schemas.openxmlformats.org/officeDocument/2006/relationships/hyperlink" Target="https://login.consultant.ru/link/?req=doc&amp;base=LAW&amp;n=451093&amp;dst=100098" TargetMode = "External"/>
	<Relationship Id="rId128" Type="http://schemas.openxmlformats.org/officeDocument/2006/relationships/hyperlink" Target="https://login.consultant.ru/link/?req=doc&amp;base=LAW&amp;n=422367&amp;dst=100025" TargetMode = "External"/>
	<Relationship Id="rId129" Type="http://schemas.openxmlformats.org/officeDocument/2006/relationships/hyperlink" Target="https://login.consultant.ru/link/?req=doc&amp;base=LAW&amp;n=422367&amp;dst=100026" TargetMode = "External"/>
	<Relationship Id="rId130" Type="http://schemas.openxmlformats.org/officeDocument/2006/relationships/hyperlink" Target="https://login.consultant.ru/link/?req=doc&amp;base=LAW&amp;n=422367&amp;dst=100027" TargetMode = "External"/>
	<Relationship Id="rId131" Type="http://schemas.openxmlformats.org/officeDocument/2006/relationships/hyperlink" Target="https://login.consultant.ru/link/?req=doc&amp;base=LAW&amp;n=440783&amp;dst=10028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14.07.2021 N 467н
(ред. от 27.02.2023)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(Зарегистрировано в Минюсте России 08.09.2021 N 64932)</dc:title>
  <dcterms:created xsi:type="dcterms:W3CDTF">2024-02-02T09:01:18Z</dcterms:created>
</cp:coreProperties>
</file>